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wordWrap w:val="0"/>
        <w:spacing w:before="0" w:after="0" w:line="240" w:lineRule="auto"/>
        <w:ind w:left="0" w:right="0" w:firstLine="0"/>
        <w:jc w:val="center"/>
        <w:rPr>
          <w:rFonts w:hint="eastAsia"/>
          <w:b/>
          <w:bCs/>
          <w:color w:val="000000"/>
          <w:sz w:val="44"/>
          <w:szCs w:val="44"/>
          <w:u w:val="none"/>
          <w:lang w:val="en-US" w:eastAsia="zh-CN"/>
        </w:rPr>
      </w:pPr>
      <w:r>
        <w:rPr>
          <w:rFonts w:hint="eastAsia" w:ascii="宋体" w:hAnsi="宋体" w:eastAsia="宋体" w:cs="宋体"/>
          <w:b/>
          <w:color w:val="auto"/>
          <w:position w:val="0"/>
          <w:sz w:val="44"/>
          <w:szCs w:val="44"/>
          <w:lang w:val="en-US" w:eastAsia="zh-CN"/>
        </w:rPr>
        <w:t>2020</w:t>
      </w:r>
      <w:r>
        <w:rPr>
          <w:rFonts w:hint="eastAsia" w:ascii="宋体" w:hAnsi="宋体" w:eastAsia="宋体" w:cs="宋体"/>
          <w:b/>
          <w:color w:val="auto"/>
          <w:position w:val="0"/>
          <w:sz w:val="44"/>
          <w:szCs w:val="44"/>
        </w:rPr>
        <w:t>年香格里拉市洛吉乡</w:t>
      </w:r>
      <w:r>
        <w:rPr>
          <w:rFonts w:hint="eastAsia" w:ascii="宋体" w:hAnsi="宋体" w:eastAsia="宋体" w:cs="宋体"/>
          <w:b/>
          <w:color w:val="auto"/>
          <w:position w:val="0"/>
          <w:sz w:val="44"/>
          <w:szCs w:val="44"/>
          <w:lang w:eastAsia="zh-CN"/>
        </w:rPr>
        <w:t>卫生院开展</w:t>
      </w:r>
      <w:r>
        <w:rPr>
          <w:rFonts w:hint="eastAsia"/>
          <w:b/>
          <w:bCs/>
          <w:color w:val="000000"/>
          <w:sz w:val="44"/>
          <w:szCs w:val="44"/>
          <w:u w:val="none"/>
          <w:lang w:val="en-US" w:eastAsia="zh-CN"/>
        </w:rPr>
        <w:t>严重精神障碍患者规范管理培训和妇幼健康</w:t>
      </w:r>
    </w:p>
    <w:p>
      <w:pPr>
        <w:numPr>
          <w:ilvl w:val="0"/>
          <w:numId w:val="0"/>
        </w:numPr>
        <w:wordWrap w:val="0"/>
        <w:spacing w:before="0" w:after="0" w:line="240" w:lineRule="auto"/>
        <w:ind w:left="0" w:right="0" w:firstLine="0"/>
        <w:jc w:val="center"/>
        <w:rPr>
          <w:rFonts w:hint="eastAsia"/>
          <w:b/>
          <w:bCs/>
          <w:sz w:val="48"/>
          <w:szCs w:val="56"/>
          <w:lang w:eastAsia="zh-CN"/>
        </w:rPr>
      </w:pPr>
      <w:r>
        <w:rPr>
          <w:rFonts w:hint="eastAsia"/>
          <w:b/>
          <w:bCs/>
          <w:color w:val="000000"/>
          <w:sz w:val="44"/>
          <w:szCs w:val="44"/>
          <w:u w:val="none"/>
          <w:lang w:val="en-US" w:eastAsia="zh-CN"/>
        </w:rPr>
        <w:t>适宜技术培训</w:t>
      </w:r>
    </w:p>
    <w:p>
      <w:pPr>
        <w:numPr>
          <w:ilvl w:val="0"/>
          <w:numId w:val="0"/>
        </w:numPr>
        <w:wordWrap w:val="0"/>
        <w:spacing w:before="0" w:after="0" w:line="240" w:lineRule="auto"/>
        <w:ind w:left="0" w:right="0" w:firstLine="0"/>
        <w:jc w:val="center"/>
        <w:rPr>
          <w:rFonts w:hint="eastAsia" w:ascii="宋体" w:hAnsi="宋体" w:eastAsia="宋体" w:cs="宋体"/>
          <w:b/>
          <w:color w:val="FF0000"/>
          <w:position w:val="0"/>
          <w:sz w:val="52"/>
          <w:szCs w:val="52"/>
        </w:rPr>
      </w:pPr>
      <w:r>
        <w:rPr>
          <w:rFonts w:hint="eastAsia" w:ascii="宋体" w:hAnsi="宋体" w:eastAsia="宋体" w:cs="宋体"/>
          <w:b/>
          <w:color w:val="FF0000"/>
          <w:position w:val="0"/>
          <w:sz w:val="52"/>
          <w:szCs w:val="52"/>
        </w:rPr>
        <w:t>简</w:t>
      </w:r>
      <w:r>
        <w:rPr>
          <w:rFonts w:hint="eastAsia" w:ascii="宋体" w:hAnsi="宋体" w:eastAsia="宋体" w:cs="宋体"/>
          <w:b/>
          <w:color w:val="FF0000"/>
          <w:position w:val="0"/>
          <w:sz w:val="52"/>
          <w:szCs w:val="52"/>
          <w:lang w:val="en-US" w:eastAsia="zh-CN"/>
        </w:rPr>
        <w:t xml:space="preserve">   </w:t>
      </w:r>
      <w:r>
        <w:rPr>
          <w:rFonts w:hint="eastAsia" w:ascii="宋体" w:hAnsi="宋体" w:eastAsia="宋体" w:cs="宋体"/>
          <w:b/>
          <w:color w:val="FF0000"/>
          <w:position w:val="0"/>
          <w:sz w:val="52"/>
          <w:szCs w:val="52"/>
        </w:rPr>
        <w:t>报</w:t>
      </w:r>
    </w:p>
    <w:p>
      <w:pPr>
        <w:numPr>
          <w:ilvl w:val="0"/>
          <w:numId w:val="0"/>
        </w:numPr>
        <w:wordWrap w:val="0"/>
        <w:spacing w:before="0" w:after="0" w:line="240" w:lineRule="auto"/>
        <w:ind w:left="0" w:right="0" w:firstLine="3520"/>
        <w:jc w:val="both"/>
        <w:rPr>
          <w:rFonts w:hint="eastAsia" w:ascii="宋体" w:hAnsi="宋体" w:eastAsia="宋体" w:cs="宋体"/>
          <w:b/>
          <w:color w:val="auto"/>
          <w:position w:val="0"/>
          <w:sz w:val="32"/>
          <w:szCs w:val="32"/>
        </w:rPr>
      </w:pPr>
      <w:r>
        <w:rPr>
          <w:rFonts w:hint="eastAsia" w:ascii="宋体" w:hAnsi="宋体" w:eastAsia="宋体" w:cs="宋体"/>
          <w:b/>
          <w:color w:val="auto"/>
          <w:position w:val="0"/>
          <w:sz w:val="32"/>
          <w:szCs w:val="32"/>
        </w:rPr>
        <w:t>第</w:t>
      </w:r>
      <w:r>
        <w:rPr>
          <w:rFonts w:hint="eastAsia" w:ascii="宋体" w:hAnsi="宋体" w:eastAsia="宋体" w:cs="宋体"/>
          <w:b/>
          <w:color w:val="auto"/>
          <w:position w:val="0"/>
          <w:sz w:val="32"/>
          <w:szCs w:val="32"/>
          <w:lang w:val="en-US" w:eastAsia="zh-CN"/>
        </w:rPr>
        <w:t>23</w:t>
      </w:r>
      <w:r>
        <w:rPr>
          <w:rFonts w:hint="eastAsia" w:ascii="宋体" w:hAnsi="宋体" w:eastAsia="宋体" w:cs="宋体"/>
          <w:b/>
          <w:color w:val="auto"/>
          <w:position w:val="0"/>
          <w:sz w:val="32"/>
          <w:szCs w:val="32"/>
        </w:rPr>
        <w:t>期</w:t>
      </w:r>
    </w:p>
    <w:p>
      <w:pPr>
        <w:numPr>
          <w:ilvl w:val="0"/>
          <w:numId w:val="0"/>
        </w:numPr>
        <w:wordWrap w:val="0"/>
        <w:spacing w:before="0" w:after="0" w:line="240" w:lineRule="auto"/>
        <w:ind w:right="0"/>
        <w:jc w:val="left"/>
        <w:rPr>
          <w:rFonts w:hint="eastAsia" w:ascii="宋体" w:hAnsi="宋体" w:eastAsia="宋体" w:cs="宋体"/>
          <w:b/>
          <w:color w:val="FF0000"/>
          <w:position w:val="0"/>
          <w:sz w:val="32"/>
          <w:szCs w:val="32"/>
          <w:u w:val="none"/>
          <w:lang w:eastAsia="zh-CN"/>
        </w:rPr>
      </w:pPr>
      <w:r>
        <w:rPr>
          <w:sz w:val="20"/>
        </w:rPr>
        <mc:AlternateContent>
          <mc:Choice Requires="wps">
            <w:drawing>
              <wp:anchor distT="0" distB="0" distL="114300" distR="114300" simplePos="0" relativeHeight="251625472" behindDoc="0" locked="0" layoutInCell="1" allowOverlap="1">
                <wp:simplePos x="0" y="0"/>
                <wp:positionH relativeFrom="column">
                  <wp:posOffset>-24765</wp:posOffset>
                </wp:positionH>
                <wp:positionV relativeFrom="paragraph">
                  <wp:posOffset>326390</wp:posOffset>
                </wp:positionV>
                <wp:extent cx="5304155" cy="38735"/>
                <wp:effectExtent l="0" t="13970" r="10795" b="23495"/>
                <wp:wrapNone/>
                <wp:docPr id="10" name="直接连接符 5"/>
                <wp:cNvGraphicFramePr/>
                <a:graphic xmlns:a="http://schemas.openxmlformats.org/drawingml/2006/main">
                  <a:graphicData uri="http://schemas.microsoft.com/office/word/2010/wordprocessingShape">
                    <wps:wsp>
                      <wps:cNvCnPr/>
                      <wps:spPr>
                        <a:xfrm flipV="1">
                          <a:off x="0" y="0"/>
                          <a:ext cx="5304155" cy="38735"/>
                        </a:xfrm>
                        <a:prstGeom prst="line">
                          <a:avLst/>
                        </a:prstGeom>
                        <a:ln w="28575" cap="flat" cmpd="sng">
                          <a:solidFill>
                            <a:prstClr val="red"/>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0"/>
                    </wps:wsp>
                  </a:graphicData>
                </a:graphic>
              </wp:anchor>
            </w:drawing>
          </mc:Choice>
          <mc:Fallback>
            <w:pict>
              <v:line id="直接连接符 5" o:spid="_x0000_s1026" o:spt="20" style="position:absolute;left:0pt;flip:y;margin-left:-1.95pt;margin-top:25.7pt;height:3.05pt;width:417.65pt;z-index:251625472;mso-width-relative:page;mso-height-relative:page;" filled="f" stroked="t" coordsize="21600,21600" o:gfxdata="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jpazE2gAA&#10;AAgBAAAPAAAAAAAAAAEAIAAAACIAAABkcnMvZG93bnJldi54bWxQSwECFAAUAAAACACHTuJAomyJ&#10;cFUCAABzBAAADgAAAAAAAAABACAAAAApAQAAZHJzL2Uyb0RvYy54bWxQSwUGAAAAAAYABgBZAQAA&#10;8AUAAAAA&#10;">
                <v:fill on="f" focussize="0,0"/>
                <v:stroke weight="2.25pt" color="#FF0000 [3204]" miterlimit="8" joinstyle="miter"/>
                <v:imagedata o:title=""/>
                <o:lock v:ext="edit" aspectratio="f"/>
              </v:line>
            </w:pict>
          </mc:Fallback>
        </mc:AlternateContent>
      </w:r>
      <w:r>
        <w:rPr>
          <w:rFonts w:hint="eastAsia" w:ascii="宋体" w:hAnsi="宋体" w:eastAsia="宋体" w:cs="宋体"/>
          <w:b/>
          <w:color w:val="FF0000"/>
          <w:position w:val="0"/>
          <w:sz w:val="32"/>
          <w:szCs w:val="32"/>
          <w:u w:val="none"/>
          <w:lang w:val="en-US" w:eastAsia="zh-CN"/>
        </w:rPr>
        <w:t>香格里拉市</w:t>
      </w:r>
      <w:r>
        <w:rPr>
          <w:rFonts w:hint="eastAsia" w:ascii="宋体" w:hAnsi="宋体" w:eastAsia="宋体" w:cs="宋体"/>
          <w:b/>
          <w:color w:val="FF0000"/>
          <w:position w:val="0"/>
          <w:sz w:val="32"/>
          <w:szCs w:val="32"/>
          <w:u w:val="none"/>
        </w:rPr>
        <w:t>洛吉乡</w:t>
      </w:r>
      <w:r>
        <w:rPr>
          <w:rFonts w:hint="eastAsia" w:ascii="宋体" w:hAnsi="宋体" w:eastAsia="宋体" w:cs="宋体"/>
          <w:b/>
          <w:color w:val="FF0000"/>
          <w:position w:val="0"/>
          <w:sz w:val="32"/>
          <w:szCs w:val="32"/>
          <w:u w:val="none"/>
          <w:lang w:eastAsia="zh-CN"/>
        </w:rPr>
        <w:t>卫生院</w:t>
      </w:r>
      <w:r>
        <w:rPr>
          <w:rFonts w:hint="eastAsia" w:ascii="宋体" w:hAnsi="宋体" w:eastAsia="宋体" w:cs="宋体"/>
          <w:b/>
          <w:color w:val="FF0000"/>
          <w:position w:val="0"/>
          <w:sz w:val="32"/>
          <w:szCs w:val="32"/>
          <w:u w:val="none"/>
        </w:rPr>
        <w:t xml:space="preserve"> </w:t>
      </w:r>
      <w:r>
        <w:rPr>
          <w:rFonts w:hint="eastAsia" w:ascii="宋体" w:hAnsi="宋体" w:eastAsia="宋体" w:cs="宋体"/>
          <w:b/>
          <w:color w:val="FF0000"/>
          <w:position w:val="0"/>
          <w:sz w:val="32"/>
          <w:szCs w:val="32"/>
          <w:u w:val="none"/>
          <w:lang w:val="en-US" w:eastAsia="zh-CN"/>
        </w:rPr>
        <w:t xml:space="preserve"> </w:t>
      </w:r>
      <w:r>
        <w:rPr>
          <w:rFonts w:hint="eastAsia" w:ascii="宋体" w:hAnsi="宋体" w:eastAsia="宋体" w:cs="宋体"/>
          <w:b/>
          <w:color w:val="FF0000"/>
          <w:position w:val="0"/>
          <w:sz w:val="32"/>
          <w:szCs w:val="32"/>
          <w:u w:val="none"/>
        </w:rPr>
        <w:t xml:space="preserve"> </w:t>
      </w:r>
      <w:r>
        <w:rPr>
          <w:rFonts w:hint="eastAsia" w:ascii="宋体" w:hAnsi="宋体" w:eastAsia="宋体" w:cs="宋体"/>
          <w:b/>
          <w:color w:val="FF0000"/>
          <w:position w:val="0"/>
          <w:sz w:val="32"/>
          <w:szCs w:val="32"/>
          <w:u w:val="none"/>
          <w:lang w:val="en-US" w:eastAsia="zh-CN"/>
        </w:rPr>
        <w:t xml:space="preserve">  </w:t>
      </w:r>
      <w:r>
        <w:rPr>
          <w:rFonts w:hint="eastAsia" w:ascii="宋体" w:hAnsi="宋体" w:eastAsia="宋体" w:cs="宋体"/>
          <w:b/>
          <w:color w:val="FF0000"/>
          <w:position w:val="0"/>
          <w:sz w:val="32"/>
          <w:szCs w:val="32"/>
          <w:u w:val="none"/>
        </w:rPr>
        <w:t xml:space="preserve"> </w:t>
      </w:r>
      <w:r>
        <w:rPr>
          <w:rFonts w:hint="eastAsia" w:ascii="宋体" w:hAnsi="宋体" w:eastAsia="宋体" w:cs="宋体"/>
          <w:b/>
          <w:color w:val="FF0000"/>
          <w:position w:val="0"/>
          <w:sz w:val="32"/>
          <w:szCs w:val="32"/>
          <w:u w:val="none"/>
          <w:lang w:val="en-US" w:eastAsia="zh-CN"/>
        </w:rPr>
        <w:t xml:space="preserve"> </w:t>
      </w:r>
      <w:r>
        <w:rPr>
          <w:rFonts w:hint="eastAsia" w:ascii="宋体" w:hAnsi="宋体" w:eastAsia="宋体" w:cs="宋体"/>
          <w:b/>
          <w:color w:val="FF0000"/>
          <w:position w:val="0"/>
          <w:sz w:val="32"/>
          <w:szCs w:val="32"/>
          <w:u w:val="none"/>
        </w:rPr>
        <w:t xml:space="preserve"> </w:t>
      </w:r>
      <w:r>
        <w:rPr>
          <w:rFonts w:hint="eastAsia" w:ascii="宋体" w:hAnsi="宋体" w:eastAsia="宋体" w:cs="宋体"/>
          <w:b/>
          <w:color w:val="FF0000"/>
          <w:position w:val="0"/>
          <w:sz w:val="32"/>
          <w:szCs w:val="32"/>
          <w:u w:val="none"/>
          <w:lang w:val="en-US" w:eastAsia="zh-CN"/>
        </w:rPr>
        <w:t xml:space="preserve">     </w:t>
      </w:r>
      <w:r>
        <w:rPr>
          <w:rFonts w:hint="eastAsia" w:ascii="宋体" w:hAnsi="宋体" w:eastAsia="宋体" w:cs="宋体"/>
          <w:b/>
          <w:color w:val="FF0000"/>
          <w:position w:val="0"/>
          <w:sz w:val="32"/>
          <w:szCs w:val="32"/>
          <w:u w:val="none"/>
          <w:lang w:eastAsia="zh-CN"/>
        </w:rPr>
        <w:t>20</w:t>
      </w:r>
      <w:r>
        <w:rPr>
          <w:rFonts w:hint="eastAsia" w:ascii="宋体" w:hAnsi="宋体" w:eastAsia="宋体" w:cs="宋体"/>
          <w:b/>
          <w:color w:val="FF0000"/>
          <w:position w:val="0"/>
          <w:sz w:val="32"/>
          <w:szCs w:val="32"/>
          <w:u w:val="none"/>
          <w:lang w:val="en-US" w:eastAsia="zh-CN"/>
        </w:rPr>
        <w:t>20</w:t>
      </w:r>
      <w:r>
        <w:rPr>
          <w:rFonts w:hint="eastAsia" w:ascii="宋体" w:hAnsi="宋体" w:eastAsia="宋体" w:cs="宋体"/>
          <w:b/>
          <w:color w:val="FF0000"/>
          <w:position w:val="0"/>
          <w:sz w:val="32"/>
          <w:szCs w:val="32"/>
          <w:u w:val="none"/>
          <w:lang w:eastAsia="zh-CN"/>
        </w:rPr>
        <w:t>年</w:t>
      </w:r>
      <w:r>
        <w:rPr>
          <w:rFonts w:hint="eastAsia" w:ascii="宋体" w:hAnsi="宋体" w:eastAsia="宋体" w:cs="宋体"/>
          <w:b/>
          <w:color w:val="FF0000"/>
          <w:position w:val="0"/>
          <w:sz w:val="32"/>
          <w:szCs w:val="32"/>
          <w:u w:val="none"/>
          <w:lang w:val="en-US" w:eastAsia="zh-CN"/>
        </w:rPr>
        <w:t>09</w:t>
      </w:r>
      <w:r>
        <w:rPr>
          <w:rFonts w:hint="eastAsia" w:ascii="宋体" w:hAnsi="宋体" w:eastAsia="宋体" w:cs="宋体"/>
          <w:b/>
          <w:color w:val="FF0000"/>
          <w:position w:val="0"/>
          <w:sz w:val="32"/>
          <w:szCs w:val="32"/>
          <w:u w:val="none"/>
          <w:lang w:eastAsia="zh-CN"/>
        </w:rPr>
        <w:t>月</w:t>
      </w:r>
      <w:r>
        <w:rPr>
          <w:rFonts w:hint="eastAsia" w:ascii="宋体" w:hAnsi="宋体" w:eastAsia="宋体" w:cs="宋体"/>
          <w:b/>
          <w:color w:val="FF0000"/>
          <w:position w:val="0"/>
          <w:sz w:val="32"/>
          <w:szCs w:val="32"/>
          <w:u w:val="none"/>
          <w:lang w:val="en-US" w:eastAsia="zh-CN"/>
        </w:rPr>
        <w:t>17</w:t>
      </w:r>
      <w:r>
        <w:rPr>
          <w:rFonts w:hint="eastAsia" w:ascii="宋体" w:hAnsi="宋体" w:eastAsia="宋体" w:cs="宋体"/>
          <w:b/>
          <w:color w:val="FF0000"/>
          <w:position w:val="0"/>
          <w:sz w:val="32"/>
          <w:szCs w:val="32"/>
          <w:u w:val="none"/>
          <w:lang w:eastAsia="zh-CN"/>
        </w:rPr>
        <w:t>日</w:t>
      </w:r>
    </w:p>
    <w:p>
      <w:pPr>
        <w:ind w:firstLine="640" w:firstLineChars="200"/>
        <w:jc w:val="left"/>
        <w:rPr>
          <w:rFonts w:hint="eastAsia" w:ascii="仿宋" w:hAnsi="仿宋" w:eastAsia="仿宋" w:cs="仿宋"/>
          <w:b w:val="0"/>
          <w:bCs/>
          <w:color w:val="000000"/>
          <w:sz w:val="32"/>
          <w:szCs w:val="32"/>
          <w:lang w:val="en-US" w:eastAsia="zh-CN"/>
        </w:rPr>
      </w:pPr>
      <w:r>
        <w:rPr>
          <w:rFonts w:hint="eastAsia" w:ascii="仿宋" w:hAnsi="仿宋" w:eastAsia="仿宋" w:cs="仿宋"/>
          <w:b w:val="0"/>
          <w:bCs/>
          <w:color w:val="000000"/>
          <w:sz w:val="32"/>
          <w:szCs w:val="32"/>
          <w:lang w:val="en-US" w:eastAsia="zh-CN"/>
        </w:rPr>
        <w:t>根据州卫健委严重精神障碍管理治疗培训班相关会议和迪卫疾控【2020】28号文件精神，为更好完成我院2020年严重精神障碍患者线索调查及管理治疗，达到筛查管理的任务目标，我院于2020年09月17日召集公共卫生科全体医护人员在二楼会议室开展了严重精神障碍患者筛查及管理培训会。</w:t>
      </w:r>
    </w:p>
    <w:p>
      <w:pPr>
        <w:jc w:val="left"/>
        <w:rPr>
          <w:rFonts w:hint="eastAsia" w:ascii="仿宋" w:hAnsi="仿宋" w:eastAsia="仿宋" w:cs="仿宋"/>
          <w:b w:val="0"/>
          <w:bCs/>
          <w:color w:val="000000"/>
          <w:sz w:val="32"/>
          <w:szCs w:val="32"/>
          <w:lang w:val="en-US" w:eastAsia="zh-CN"/>
        </w:rPr>
      </w:pPr>
      <w:r>
        <w:rPr>
          <w:rFonts w:hint="eastAsia" w:ascii="仿宋" w:hAnsi="仿宋" w:eastAsia="仿宋" w:cs="仿宋"/>
          <w:b w:val="0"/>
          <w:bCs/>
          <w:color w:val="000000"/>
          <w:sz w:val="32"/>
          <w:szCs w:val="32"/>
          <w:lang w:val="en-US" w:eastAsia="zh-CN"/>
        </w:rPr>
        <w:drawing>
          <wp:inline distT="0" distB="0" distL="114300" distR="114300">
            <wp:extent cx="5263515" cy="3797300"/>
            <wp:effectExtent l="0" t="0" r="13335" b="12700"/>
            <wp:docPr id="4" name="图片 4" descr="c347d2eb2d3ec44820a0bf9bb34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347d2eb2d3ec44820a0bf9bb342688"/>
                    <pic:cNvPicPr>
                      <a:picLocks noChangeAspect="1"/>
                    </pic:cNvPicPr>
                  </pic:nvPicPr>
                  <pic:blipFill>
                    <a:blip r:embed="rId4"/>
                    <a:stretch>
                      <a:fillRect/>
                    </a:stretch>
                  </pic:blipFill>
                  <pic:spPr>
                    <a:xfrm>
                      <a:off x="0" y="0"/>
                      <a:ext cx="5263515" cy="3797300"/>
                    </a:xfrm>
                    <a:prstGeom prst="rect">
                      <a:avLst/>
                    </a:prstGeom>
                  </pic:spPr>
                </pic:pic>
              </a:graphicData>
            </a:graphic>
          </wp:inline>
        </w:drawing>
      </w:r>
    </w:p>
    <w:p>
      <w:pPr>
        <w:ind w:firstLine="640" w:firstLineChars="200"/>
        <w:jc w:val="left"/>
        <w:rPr>
          <w:rFonts w:hint="eastAsia" w:ascii="仿宋" w:hAnsi="仿宋" w:eastAsia="仿宋" w:cs="仿宋"/>
          <w:b w:val="0"/>
          <w:bCs/>
          <w:color w:val="000000"/>
          <w:sz w:val="32"/>
          <w:szCs w:val="32"/>
          <w:lang w:val="en-US" w:eastAsia="zh-CN"/>
        </w:rPr>
      </w:pPr>
      <w:r>
        <w:rPr>
          <w:rFonts w:hint="eastAsia" w:ascii="仿宋" w:hAnsi="仿宋" w:eastAsia="仿宋" w:cs="仿宋"/>
          <w:b w:val="0"/>
          <w:bCs/>
          <w:color w:val="000000"/>
          <w:sz w:val="32"/>
          <w:szCs w:val="32"/>
          <w:lang w:val="en-US" w:eastAsia="zh-CN"/>
        </w:rPr>
        <w:t>本次培训由我院院长长和爱军主持，由我院公卫科科长周丽娜主讲。本次培训的主要内容有：1.《迪庆州卫健委严重精神障碍异常线索筛查工作方案》，重点培训“精神行为异常识别清单”，2.严重精神障碍患者发现、诊断、登记、报告，居家患者药物治疗，随访管理与指导，精神康复，健康教育与宣传，信息与资料管理等。要求所有参会人员熟悉并掌握培训内容，并将培训内容运用于实际筛查管理工作中。</w:t>
      </w:r>
    </w:p>
    <w:p>
      <w:pPr>
        <w:jc w:val="left"/>
        <w:rPr>
          <w:rFonts w:hint="eastAsia" w:ascii="仿宋" w:hAnsi="仿宋" w:eastAsia="仿宋" w:cs="仿宋"/>
          <w:b w:val="0"/>
          <w:bCs/>
          <w:color w:val="000000"/>
          <w:sz w:val="32"/>
          <w:szCs w:val="32"/>
          <w:lang w:val="en-US" w:eastAsia="zh-CN"/>
        </w:rPr>
      </w:pPr>
      <w:r>
        <w:rPr>
          <w:rFonts w:hint="eastAsia" w:ascii="仿宋" w:hAnsi="仿宋" w:eastAsia="仿宋" w:cs="仿宋"/>
          <w:b w:val="0"/>
          <w:bCs/>
          <w:color w:val="000000"/>
          <w:sz w:val="32"/>
          <w:szCs w:val="32"/>
          <w:lang w:val="en-US" w:eastAsia="zh-CN"/>
        </w:rPr>
        <w:drawing>
          <wp:inline distT="0" distB="0" distL="114300" distR="114300">
            <wp:extent cx="5272405" cy="3815080"/>
            <wp:effectExtent l="0" t="0" r="4445" b="13970"/>
            <wp:docPr id="3" name="图片 3" descr="772d7ae45deb5c408acddc7a83fb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72d7ae45deb5c408acddc7a83fbb03"/>
                    <pic:cNvPicPr>
                      <a:picLocks noChangeAspect="1"/>
                    </pic:cNvPicPr>
                  </pic:nvPicPr>
                  <pic:blipFill>
                    <a:blip r:embed="rId5"/>
                    <a:stretch>
                      <a:fillRect/>
                    </a:stretch>
                  </pic:blipFill>
                  <pic:spPr>
                    <a:xfrm>
                      <a:off x="0" y="0"/>
                      <a:ext cx="5272405" cy="3815080"/>
                    </a:xfrm>
                    <a:prstGeom prst="rect">
                      <a:avLst/>
                    </a:prstGeom>
                  </pic:spPr>
                </pic:pic>
              </a:graphicData>
            </a:graphic>
          </wp:inline>
        </w:drawing>
      </w:r>
    </w:p>
    <w:p>
      <w:pPr>
        <w:ind w:firstLine="640" w:firstLineChars="200"/>
        <w:jc w:val="left"/>
        <w:rPr>
          <w:rFonts w:hint="eastAsia" w:ascii="仿宋" w:hAnsi="仿宋" w:eastAsia="仿宋" w:cs="仿宋"/>
          <w:b w:val="0"/>
          <w:bCs/>
          <w:color w:val="000000"/>
          <w:sz w:val="32"/>
          <w:szCs w:val="32"/>
          <w:lang w:val="en-US" w:eastAsia="zh-CN"/>
        </w:rPr>
      </w:pPr>
      <w:r>
        <w:rPr>
          <w:rFonts w:hint="eastAsia" w:ascii="仿宋" w:hAnsi="仿宋" w:eastAsia="仿宋" w:cs="仿宋"/>
          <w:b w:val="0"/>
          <w:bCs/>
          <w:color w:val="000000"/>
          <w:sz w:val="32"/>
          <w:szCs w:val="32"/>
          <w:lang w:val="en-US" w:eastAsia="zh-CN"/>
        </w:rPr>
        <w:t>通过培训，参训人员较好掌握了本次筛查工作方案和严重精神障碍患者管理随访相关内容。</w:t>
      </w:r>
    </w:p>
    <w:p>
      <w:pPr>
        <w:ind w:firstLine="640" w:firstLineChars="200"/>
        <w:jc w:val="left"/>
        <w:rPr>
          <w:rFonts w:hint="eastAsia" w:ascii="仿宋" w:hAnsi="仿宋" w:eastAsia="仿宋" w:cs="仿宋"/>
          <w:b w:val="0"/>
          <w:bCs/>
          <w:color w:val="000000"/>
          <w:sz w:val="32"/>
          <w:szCs w:val="32"/>
          <w:lang w:val="en-US" w:eastAsia="zh-CN"/>
        </w:rPr>
      </w:pPr>
      <w:r>
        <w:rPr>
          <w:rFonts w:hint="eastAsia" w:ascii="仿宋" w:hAnsi="仿宋" w:eastAsia="仿宋" w:cs="仿宋"/>
          <w:b w:val="0"/>
          <w:bCs/>
          <w:color w:val="000000"/>
          <w:sz w:val="32"/>
          <w:szCs w:val="32"/>
          <w:lang w:val="en-US" w:eastAsia="zh-CN"/>
        </w:rPr>
        <w:t>紧接着，我院保健科科长珍珠卓玛也开展了2020年度妇幼保健适宜技术培训，重点强调了高危儿的筛查与管理，同时要求全体参会人员要把专业知识与实践能力相结合，进一步提高我院儿科诊疗和儿保健康查体技术水平。</w:t>
      </w:r>
    </w:p>
    <w:p>
      <w:pPr>
        <w:jc w:val="left"/>
        <w:rPr>
          <w:rFonts w:hint="eastAsia" w:ascii="仿宋" w:hAnsi="仿宋" w:eastAsia="仿宋" w:cs="仿宋"/>
          <w:b/>
          <w:bCs w:val="0"/>
          <w:color w:val="000000"/>
          <w:sz w:val="32"/>
          <w:szCs w:val="32"/>
          <w:lang w:val="en-US" w:eastAsia="zh-CN"/>
        </w:rPr>
      </w:pPr>
      <w:r>
        <w:rPr>
          <w:rFonts w:hint="eastAsia" w:ascii="仿宋" w:hAnsi="仿宋" w:eastAsia="仿宋" w:cs="仿宋"/>
          <w:b/>
          <w:bCs w:val="0"/>
          <w:color w:val="000000"/>
          <w:sz w:val="32"/>
          <w:szCs w:val="32"/>
          <w:lang w:val="en-US" w:eastAsia="zh-CN"/>
        </w:rPr>
        <w:drawing>
          <wp:inline distT="0" distB="0" distL="114300" distR="114300">
            <wp:extent cx="5272405" cy="4158615"/>
            <wp:effectExtent l="0" t="0" r="4445" b="13335"/>
            <wp:docPr id="5" name="图片 5" descr="3bae9ffaf7e9e57bad4e20598ee8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bae9ffaf7e9e57bad4e20598ee8c8d"/>
                    <pic:cNvPicPr>
                      <a:picLocks noChangeAspect="1"/>
                    </pic:cNvPicPr>
                  </pic:nvPicPr>
                  <pic:blipFill>
                    <a:blip r:embed="rId6"/>
                    <a:stretch>
                      <a:fillRect/>
                    </a:stretch>
                  </pic:blipFill>
                  <pic:spPr>
                    <a:xfrm>
                      <a:off x="0" y="0"/>
                      <a:ext cx="5272405" cy="4158615"/>
                    </a:xfrm>
                    <a:prstGeom prst="rect">
                      <a:avLst/>
                    </a:prstGeom>
                  </pic:spPr>
                </pic:pic>
              </a:graphicData>
            </a:graphic>
          </wp:inline>
        </w:drawing>
      </w:r>
    </w:p>
    <w:p>
      <w:pPr>
        <w:ind w:firstLine="640" w:firstLineChars="200"/>
        <w:jc w:val="left"/>
        <w:rPr>
          <w:rFonts w:hint="eastAsia" w:ascii="仿宋" w:hAnsi="仿宋" w:eastAsia="仿宋" w:cs="仿宋"/>
          <w:b w:val="0"/>
          <w:bCs/>
          <w:i w:val="0"/>
          <w:iCs w:val="0"/>
          <w:color w:val="000000"/>
          <w:sz w:val="32"/>
          <w:szCs w:val="32"/>
          <w:lang w:val="en-US" w:eastAsia="zh-CN"/>
        </w:rPr>
      </w:pPr>
      <w:r>
        <w:rPr>
          <w:rFonts w:hint="eastAsia" w:ascii="仿宋" w:hAnsi="仿宋" w:eastAsia="仿宋" w:cs="仿宋"/>
          <w:b w:val="0"/>
          <w:bCs/>
          <w:i w:val="0"/>
          <w:iCs w:val="0"/>
          <w:color w:val="000000"/>
          <w:sz w:val="32"/>
          <w:szCs w:val="32"/>
          <w:lang w:val="en-US" w:eastAsia="zh-CN"/>
        </w:rPr>
        <w:t>本次参加培训会议共23人，通过培训</w:t>
      </w:r>
      <w:r>
        <w:rPr>
          <w:rFonts w:hint="eastAsia" w:ascii="仿宋" w:hAnsi="仿宋" w:eastAsia="仿宋" w:cs="仿宋"/>
          <w:b w:val="0"/>
          <w:bCs/>
          <w:i w:val="0"/>
          <w:iCs w:val="0"/>
          <w:sz w:val="32"/>
          <w:szCs w:val="32"/>
          <w:lang w:val="en-US" w:eastAsia="zh-CN"/>
        </w:rPr>
        <w:t>增强了我院做好精神障碍患者的救助救治、管理工作与妇幼健康适宜技术的信心。</w:t>
      </w: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26496" behindDoc="1" locked="0" layoutInCell="1" allowOverlap="1">
            <wp:simplePos x="0" y="0"/>
            <wp:positionH relativeFrom="column">
              <wp:posOffset>3728085</wp:posOffset>
            </wp:positionH>
            <wp:positionV relativeFrom="paragraph">
              <wp:posOffset>367030</wp:posOffset>
            </wp:positionV>
            <wp:extent cx="1450975" cy="1469390"/>
            <wp:effectExtent l="127000" t="125095" r="136525" b="139065"/>
            <wp:wrapNone/>
            <wp:docPr id="6" name="图片 6" descr="f11a924d8cd44e19315bd6672c9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11a924d8cd44e19315bd6672c91483"/>
                    <pic:cNvPicPr>
                      <a:picLocks noChangeAspect="1"/>
                    </pic:cNvPicPr>
                  </pic:nvPicPr>
                  <pic:blipFill>
                    <a:blip r:embed="rId7"/>
                    <a:stretch>
                      <a:fillRect/>
                    </a:stretch>
                  </pic:blipFill>
                  <pic:spPr>
                    <a:xfrm rot="660000">
                      <a:off x="0" y="0"/>
                      <a:ext cx="1450975" cy="1469390"/>
                    </a:xfrm>
                    <a:prstGeom prst="rect">
                      <a:avLst/>
                    </a:prstGeom>
                  </pic:spPr>
                </pic:pic>
              </a:graphicData>
            </a:graphic>
          </wp:anchor>
        </w:drawing>
      </w:r>
    </w:p>
    <w:p>
      <w:pPr>
        <w:jc w:val="center"/>
        <w:rPr>
          <w:rFonts w:hint="eastAsia" w:ascii="仿宋" w:hAnsi="仿宋" w:eastAsia="仿宋" w:cs="仿宋"/>
          <w:sz w:val="32"/>
          <w:szCs w:val="32"/>
          <w:lang w:val="en-US" w:eastAsia="zh-CN"/>
        </w:rPr>
      </w:pPr>
    </w:p>
    <w:p>
      <w:pPr>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香格里拉市洛吉乡卫生院</w:t>
      </w:r>
    </w:p>
    <w:p>
      <w:pPr>
        <w:jc w:val="right"/>
        <w:rPr>
          <w:rFonts w:hint="default" w:ascii="仿宋" w:hAnsi="仿宋" w:eastAsia="仿宋" w:cs="仿宋"/>
          <w:sz w:val="32"/>
          <w:szCs w:val="32"/>
          <w:lang w:val="en-US" w:eastAsia="zh-CN"/>
        </w:rPr>
      </w:pPr>
      <w:bookmarkStart w:id="0" w:name="_GoBack"/>
      <w:bookmarkEnd w:id="0"/>
      <w:r>
        <w:rPr>
          <w:rFonts w:hint="eastAsia" w:ascii="仿宋" w:hAnsi="仿宋" w:eastAsia="仿宋" w:cs="仿宋"/>
          <w:sz w:val="32"/>
          <w:szCs w:val="32"/>
          <w:lang w:val="en-US" w:eastAsia="zh-CN"/>
        </w:rPr>
        <w:t>2020年09月17日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叶根友毛笔行书2.0版">
    <w:panose1 w:val="02010601030101010101"/>
    <w:charset w:val="86"/>
    <w:family w:val="auto"/>
    <w:pitch w:val="default"/>
    <w:sig w:usb0="00000001" w:usb1="080E0000" w:usb2="00000000" w:usb3="00000000" w:csb0="00040000" w:csb1="00000000"/>
  </w:font>
  <w:font w:name="Gungsuh">
    <w:panose1 w:val="02030600000101010101"/>
    <w:charset w:val="81"/>
    <w:family w:val="auto"/>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5A92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ordWrap w:val="0"/>
      <w:autoSpaceDE/>
      <w:autoSpaceDN/>
      <w:jc w:val="both"/>
    </w:pPr>
    <w:rPr>
      <w:rFonts w:asciiTheme="minorHAnsi" w:hAnsiTheme="minorHAnsi" w:eastAsiaTheme="minorEastAsia" w:cstheme="minorBidi"/>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黄世仁</cp:lastModifiedBy>
  <dcterms:modified xsi:type="dcterms:W3CDTF">2020-09-17T07:57:17Z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