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sz w:val="32"/>
          <w:szCs w:val="32"/>
        </w:rPr>
      </w:pPr>
    </w:p>
    <w:p>
      <w:pPr>
        <w:spacing w:line="660" w:lineRule="exact"/>
        <w:rPr>
          <w:sz w:val="32"/>
          <w:szCs w:val="32"/>
        </w:rPr>
      </w:pPr>
    </w:p>
    <w:p>
      <w:pPr>
        <w:spacing w:line="660" w:lineRule="exact"/>
        <w:rPr>
          <w:sz w:val="32"/>
          <w:szCs w:val="32"/>
        </w:rPr>
      </w:pPr>
      <w:r>
        <w:rPr>
          <w:rFonts w:hint="eastAsia"/>
          <w:sz w:val="32"/>
          <w:szCs w:val="32"/>
        </w:rPr>
        <w:drawing>
          <wp:anchor distT="0" distB="0" distL="114300" distR="114300" simplePos="0" relativeHeight="251658240" behindDoc="1" locked="0" layoutInCell="1" allowOverlap="1">
            <wp:simplePos x="0" y="0"/>
            <wp:positionH relativeFrom="column">
              <wp:posOffset>0</wp:posOffset>
            </wp:positionH>
            <wp:positionV relativeFrom="paragraph">
              <wp:posOffset>391160</wp:posOffset>
            </wp:positionV>
            <wp:extent cx="5271770" cy="1677035"/>
            <wp:effectExtent l="0" t="0" r="5080" b="18415"/>
            <wp:wrapNone/>
            <wp:docPr id="1" name="图片 1" descr="红头文件（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文件（新）"/>
                    <pic:cNvPicPr>
                      <a:picLocks noChangeAspect="1"/>
                    </pic:cNvPicPr>
                  </pic:nvPicPr>
                  <pic:blipFill>
                    <a:blip r:embed="rId5"/>
                    <a:stretch>
                      <a:fillRect/>
                    </a:stretch>
                  </pic:blipFill>
                  <pic:spPr>
                    <a:xfrm>
                      <a:off x="0" y="0"/>
                      <a:ext cx="5271770" cy="1677035"/>
                    </a:xfrm>
                    <a:prstGeom prst="rect">
                      <a:avLst/>
                    </a:prstGeom>
                  </pic:spPr>
                </pic:pic>
              </a:graphicData>
            </a:graphic>
          </wp:anchor>
        </w:drawing>
      </w:r>
    </w:p>
    <w:p>
      <w:pPr>
        <w:spacing w:line="660" w:lineRule="exact"/>
        <w:rPr>
          <w:sz w:val="32"/>
          <w:szCs w:val="32"/>
        </w:rPr>
      </w:pPr>
    </w:p>
    <w:p>
      <w:pPr>
        <w:spacing w:line="660" w:lineRule="exact"/>
        <w:rPr>
          <w:sz w:val="32"/>
          <w:szCs w:val="32"/>
        </w:rPr>
      </w:pPr>
    </w:p>
    <w:p>
      <w:pPr>
        <w:spacing w:line="660" w:lineRule="exact"/>
        <w:rPr>
          <w:sz w:val="32"/>
          <w:szCs w:val="32"/>
        </w:rPr>
      </w:pPr>
    </w:p>
    <w:p>
      <w:pPr>
        <w:jc w:val="center"/>
        <w:rPr>
          <w:rFonts w:ascii="楷体" w:hAnsi="楷体" w:eastAsia="楷体"/>
          <w:sz w:val="32"/>
          <w:szCs w:val="32"/>
        </w:rPr>
      </w:pPr>
      <w:r>
        <w:rPr>
          <w:rFonts w:hint="eastAsia" w:ascii="方正仿宋_GBK" w:eastAsia="方正仿宋_GBK"/>
          <w:sz w:val="32"/>
          <w:szCs w:val="32"/>
          <w:lang w:eastAsia="zh-CN"/>
        </w:rPr>
        <w:t>香园林局〔201</w:t>
      </w:r>
      <w:r>
        <w:rPr>
          <w:rFonts w:hint="eastAsia" w:ascii="方正仿宋_GBK" w:eastAsia="方正仿宋_GBK"/>
          <w:sz w:val="32"/>
          <w:szCs w:val="32"/>
          <w:lang w:val="en-US" w:eastAsia="zh-CN"/>
        </w:rPr>
        <w:t>8</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3</w:t>
      </w:r>
      <w:r>
        <w:rPr>
          <w:rFonts w:hint="eastAsia" w:ascii="方正仿宋_GBK" w:eastAsia="方正仿宋_GBK"/>
          <w:sz w:val="32"/>
          <w:szCs w:val="32"/>
          <w:lang w:eastAsia="zh-CN"/>
        </w:rPr>
        <w:t>号</w:t>
      </w:r>
    </w:p>
    <w:p>
      <w:pPr>
        <w:jc w:val="center"/>
        <w:rPr>
          <w:rStyle w:val="7"/>
          <w:rFonts w:hint="eastAsia" w:ascii="仿宋_GB2312" w:hAnsi="仿宋_GB2312" w:eastAsia="仿宋_GB2312" w:cs="仿宋_GB2312"/>
          <w:b/>
          <w:bCs w:val="0"/>
          <w:i w:val="0"/>
          <w:caps w:val="0"/>
          <w:color w:val="auto"/>
          <w:spacing w:val="0"/>
          <w:sz w:val="44"/>
          <w:szCs w:val="44"/>
          <w:shd w:val="clear" w:color="auto" w:fill="auto"/>
        </w:rPr>
      </w:pPr>
      <w:r>
        <w:rPr>
          <w:rFonts w:hint="eastAsia" w:ascii="仿宋_GB2312" w:hAnsi="仿宋_GB2312" w:eastAsia="仿宋_GB2312" w:cs="仿宋_GB2312"/>
          <w:b/>
          <w:bCs w:val="0"/>
          <w:i w:val="0"/>
          <w:caps w:val="0"/>
          <w:color w:val="auto"/>
          <w:spacing w:val="0"/>
          <w:sz w:val="44"/>
          <w:szCs w:val="44"/>
          <w:shd w:val="clear" w:color="auto" w:fill="auto"/>
          <w:lang w:eastAsia="zh-CN"/>
        </w:rPr>
        <w:t>香格里拉市园林绿化管理局关于印发</w:t>
      </w:r>
      <w:r>
        <w:rPr>
          <w:rFonts w:hint="eastAsia" w:asciiTheme="majorEastAsia" w:hAnsiTheme="majorEastAsia" w:eastAsiaTheme="majorEastAsia" w:cstheme="majorEastAsia"/>
          <w:b/>
          <w:bCs/>
          <w:sz w:val="44"/>
          <w:szCs w:val="44"/>
          <w:lang w:eastAsia="zh-CN"/>
        </w:rPr>
        <w:t>香格里拉市园林绿化工程管理制度的</w:t>
      </w:r>
      <w:r>
        <w:rPr>
          <w:rFonts w:hint="eastAsia" w:ascii="仿宋_GB2312" w:hAnsi="仿宋_GB2312" w:eastAsia="仿宋_GB2312" w:cs="仿宋_GB2312"/>
          <w:b/>
          <w:bCs w:val="0"/>
          <w:i w:val="0"/>
          <w:caps w:val="0"/>
          <w:color w:val="auto"/>
          <w:spacing w:val="0"/>
          <w:sz w:val="44"/>
          <w:szCs w:val="44"/>
          <w:shd w:val="clear" w:color="auto" w:fill="auto"/>
          <w:lang w:eastAsia="zh-CN"/>
        </w:rPr>
        <w:t>通知</w:t>
      </w:r>
    </w:p>
    <w:p>
      <w:pPr>
        <w:spacing w:line="560" w:lineRule="exact"/>
        <w:rPr>
          <w:rFonts w:hint="eastAsia" w:ascii="方正仿宋_GBK" w:hAnsi="方正仿宋_GBK" w:eastAsia="方正仿宋_GBK" w:cs="方正仿宋_GBK"/>
          <w:spacing w:val="-2"/>
          <w:kern w:val="10"/>
          <w:sz w:val="32"/>
          <w:szCs w:val="32"/>
          <w:lang w:eastAsia="zh-CN"/>
        </w:rPr>
      </w:pPr>
    </w:p>
    <w:p>
      <w:pPr>
        <w:spacing w:line="560" w:lineRule="exact"/>
        <w:rPr>
          <w:rFonts w:hint="eastAsia" w:ascii="方正仿宋_GBK" w:hAnsi="方正仿宋_GBK" w:eastAsia="方正仿宋_GBK" w:cs="方正仿宋_GBK"/>
          <w:spacing w:val="-2"/>
          <w:kern w:val="10"/>
          <w:sz w:val="32"/>
          <w:szCs w:val="32"/>
        </w:rPr>
      </w:pPr>
      <w:r>
        <w:rPr>
          <w:rFonts w:hint="eastAsia" w:ascii="方正仿宋_GBK" w:hAnsi="方正仿宋_GBK" w:eastAsia="方正仿宋_GBK" w:cs="方正仿宋_GBK"/>
          <w:spacing w:val="-2"/>
          <w:kern w:val="10"/>
          <w:sz w:val="32"/>
          <w:szCs w:val="32"/>
          <w:lang w:eastAsia="zh-CN"/>
        </w:rPr>
        <w:t>各绿化设计公司、绿化施工建设单位</w:t>
      </w:r>
      <w:bookmarkStart w:id="0" w:name="_GoBack"/>
      <w:bookmarkEnd w:id="0"/>
      <w:r>
        <w:rPr>
          <w:rFonts w:hint="eastAsia" w:ascii="方正仿宋_GBK" w:hAnsi="方正仿宋_GBK" w:eastAsia="方正仿宋_GBK" w:cs="方正仿宋_GBK"/>
          <w:spacing w:val="-2"/>
          <w:kern w:val="10"/>
          <w:sz w:val="32"/>
          <w:szCs w:val="32"/>
          <w:lang w:eastAsia="zh-CN"/>
        </w:rPr>
        <w:t>及监理公司</w:t>
      </w:r>
      <w:r>
        <w:rPr>
          <w:rFonts w:hint="eastAsia" w:ascii="方正仿宋_GBK" w:hAnsi="方正仿宋_GBK" w:eastAsia="方正仿宋_GBK" w:cs="方正仿宋_GBK"/>
          <w:spacing w:val="-2"/>
          <w:kern w:val="1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val="0"/>
          <w:i w:val="0"/>
          <w:caps w:val="0"/>
          <w:color w:val="000000"/>
          <w:spacing w:val="0"/>
          <w:sz w:val="32"/>
          <w:szCs w:val="32"/>
          <w:shd w:val="clear" w:fill="FFFFFF"/>
        </w:rPr>
        <w:t>为</w:t>
      </w:r>
      <w:r>
        <w:rPr>
          <w:rFonts w:hint="eastAsia" w:ascii="方正仿宋_GBK" w:hAnsi="方正仿宋_GBK" w:eastAsia="方正仿宋_GBK" w:cs="方正仿宋_GBK"/>
          <w:b w:val="0"/>
          <w:i w:val="0"/>
          <w:caps w:val="0"/>
          <w:color w:val="000000"/>
          <w:spacing w:val="0"/>
          <w:sz w:val="32"/>
          <w:szCs w:val="32"/>
          <w:shd w:val="clear" w:fill="FFFFFF"/>
          <w:lang w:eastAsia="zh-CN"/>
        </w:rPr>
        <w:t>增强香格里拉市</w:t>
      </w:r>
      <w:r>
        <w:rPr>
          <w:rFonts w:hint="eastAsia" w:ascii="方正仿宋_GBK" w:hAnsi="方正仿宋_GBK" w:eastAsia="方正仿宋_GBK" w:cs="方正仿宋_GBK"/>
          <w:b w:val="0"/>
          <w:i w:val="0"/>
          <w:caps w:val="0"/>
          <w:color w:val="000000"/>
          <w:spacing w:val="0"/>
          <w:sz w:val="32"/>
          <w:szCs w:val="32"/>
          <w:shd w:val="clear" w:fill="FFFFFF"/>
        </w:rPr>
        <w:t>园林绿化工程规划</w:t>
      </w:r>
      <w:r>
        <w:rPr>
          <w:rFonts w:hint="eastAsia" w:ascii="方正仿宋_GBK" w:hAnsi="方正仿宋_GBK" w:eastAsia="方正仿宋_GBK" w:cs="方正仿宋_GBK"/>
          <w:b w:val="0"/>
          <w:i w:val="0"/>
          <w:caps w:val="0"/>
          <w:color w:val="000000"/>
          <w:spacing w:val="0"/>
          <w:sz w:val="32"/>
          <w:szCs w:val="32"/>
          <w:shd w:val="clear" w:fill="FFFFFF"/>
          <w:lang w:eastAsia="zh-CN"/>
        </w:rPr>
        <w:t>与</w:t>
      </w:r>
      <w:r>
        <w:rPr>
          <w:rFonts w:hint="eastAsia" w:ascii="方正仿宋_GBK" w:hAnsi="方正仿宋_GBK" w:eastAsia="方正仿宋_GBK" w:cs="方正仿宋_GBK"/>
          <w:b w:val="0"/>
          <w:i w:val="0"/>
          <w:caps w:val="0"/>
          <w:color w:val="000000"/>
          <w:spacing w:val="0"/>
          <w:sz w:val="32"/>
          <w:szCs w:val="32"/>
          <w:shd w:val="clear" w:fill="FFFFFF"/>
        </w:rPr>
        <w:t>设计水平</w:t>
      </w:r>
      <w:r>
        <w:rPr>
          <w:rFonts w:hint="eastAsia" w:ascii="方正仿宋_GBK" w:hAnsi="方正仿宋_GBK" w:eastAsia="方正仿宋_GBK" w:cs="方正仿宋_GBK"/>
          <w:b w:val="0"/>
          <w:i w:val="0"/>
          <w:caps w:val="0"/>
          <w:color w:val="000000"/>
          <w:spacing w:val="0"/>
          <w:sz w:val="32"/>
          <w:szCs w:val="32"/>
          <w:shd w:val="clear" w:fill="FFFFFF"/>
          <w:lang w:eastAsia="zh-CN"/>
        </w:rPr>
        <w:t>，提高</w:t>
      </w:r>
      <w:r>
        <w:rPr>
          <w:rFonts w:hint="eastAsia" w:ascii="方正仿宋_GBK" w:hAnsi="方正仿宋_GBK" w:eastAsia="方正仿宋_GBK" w:cs="方正仿宋_GBK"/>
          <w:b w:val="0"/>
          <w:i w:val="0"/>
          <w:caps w:val="0"/>
          <w:color w:val="000000"/>
          <w:spacing w:val="0"/>
          <w:sz w:val="32"/>
          <w:szCs w:val="32"/>
          <w:shd w:val="clear" w:fill="FFFFFF"/>
        </w:rPr>
        <w:t>园林</w:t>
      </w:r>
      <w:r>
        <w:rPr>
          <w:rFonts w:hint="eastAsia" w:ascii="方正仿宋_GBK" w:hAnsi="方正仿宋_GBK" w:eastAsia="方正仿宋_GBK" w:cs="方正仿宋_GBK"/>
          <w:b w:val="0"/>
          <w:i w:val="0"/>
          <w:caps w:val="0"/>
          <w:color w:val="000000"/>
          <w:spacing w:val="0"/>
          <w:sz w:val="32"/>
          <w:szCs w:val="32"/>
          <w:shd w:val="clear" w:fill="FFFFFF"/>
          <w:lang w:eastAsia="zh-CN"/>
        </w:rPr>
        <w:t>绿化工程质量，</w:t>
      </w:r>
      <w:r>
        <w:rPr>
          <w:rFonts w:hint="eastAsia" w:ascii="方正仿宋_GBK" w:hAnsi="方正仿宋_GBK" w:eastAsia="方正仿宋_GBK" w:cs="方正仿宋_GBK"/>
          <w:b w:val="0"/>
          <w:i w:val="0"/>
          <w:caps w:val="0"/>
          <w:color w:val="000000"/>
          <w:spacing w:val="0"/>
          <w:sz w:val="32"/>
          <w:szCs w:val="32"/>
          <w:shd w:val="clear" w:fill="FFFFFF"/>
        </w:rPr>
        <w:t>加强园林绿化工程管理</w:t>
      </w:r>
      <w:r>
        <w:rPr>
          <w:rFonts w:hint="eastAsia" w:ascii="方正仿宋_GBK" w:hAnsi="方正仿宋_GBK" w:eastAsia="方正仿宋_GBK" w:cs="方正仿宋_GBK"/>
          <w:b w:val="0"/>
          <w:i w:val="0"/>
          <w:caps w:val="0"/>
          <w:color w:val="000000"/>
          <w:spacing w:val="0"/>
          <w:sz w:val="32"/>
          <w:szCs w:val="32"/>
          <w:shd w:val="clear" w:fill="FFFFFF"/>
          <w:lang w:eastAsia="zh-CN"/>
        </w:rPr>
        <w:t>，特制定《香格里拉市园林绿化工程管理制度》，现印发给你们，请认真贯彻执行。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val="0"/>
          <w:i w:val="0"/>
          <w:caps w:val="0"/>
          <w:color w:val="000000"/>
          <w:spacing w:val="0"/>
          <w:sz w:val="32"/>
          <w:szCs w:val="32"/>
          <w:shd w:val="clear" w:fill="FFFFFF"/>
          <w:lang w:eastAsia="zh-CN"/>
        </w:rPr>
        <w:t>附件：香格里拉市园林绿化工程管理制度</w:t>
      </w:r>
    </w:p>
    <w:p>
      <w:pPr>
        <w:spacing w:line="560" w:lineRule="exact"/>
        <w:rPr>
          <w:rFonts w:hint="eastAsia" w:ascii="方正仿宋_GBK" w:hAnsi="方正仿宋_GBK" w:eastAsia="方正仿宋_GBK" w:cs="方正仿宋_GBK"/>
          <w:spacing w:val="-2"/>
          <w:kern w:val="10"/>
          <w:sz w:val="32"/>
          <w:szCs w:val="32"/>
        </w:rPr>
      </w:pPr>
    </w:p>
    <w:p>
      <w:pPr>
        <w:spacing w:line="560" w:lineRule="exact"/>
        <w:rPr>
          <w:rFonts w:hint="eastAsia" w:ascii="方正仿宋_GBK" w:hAnsi="方正仿宋_GBK" w:eastAsia="方正仿宋_GBK" w:cs="方正仿宋_GBK"/>
          <w:spacing w:val="-2"/>
          <w:kern w:val="10"/>
          <w:sz w:val="32"/>
          <w:szCs w:val="32"/>
        </w:rPr>
      </w:pPr>
    </w:p>
    <w:p>
      <w:pPr>
        <w:spacing w:line="560" w:lineRule="exact"/>
        <w:ind w:firstLine="4108" w:firstLineChars="1300"/>
        <w:rPr>
          <w:rFonts w:hint="eastAsia" w:ascii="方正仿宋_GBK" w:hAnsi="方正仿宋_GBK" w:eastAsia="方正仿宋_GBK" w:cs="方正仿宋_GBK"/>
          <w:spacing w:val="-2"/>
          <w:kern w:val="10"/>
          <w:sz w:val="32"/>
          <w:szCs w:val="32"/>
        </w:rPr>
      </w:pPr>
      <w:r>
        <w:rPr>
          <w:rFonts w:hint="eastAsia" w:ascii="方正仿宋_GBK" w:hAnsi="方正仿宋_GBK" w:eastAsia="方正仿宋_GBK" w:cs="方正仿宋_GBK"/>
          <w:spacing w:val="-2"/>
          <w:kern w:val="10"/>
          <w:sz w:val="32"/>
          <w:szCs w:val="32"/>
        </w:rPr>
        <w:t>香格里拉市园林绿化管理局</w:t>
      </w:r>
    </w:p>
    <w:p>
      <w:pPr>
        <w:spacing w:line="560" w:lineRule="exact"/>
        <w:rPr>
          <w:rFonts w:hint="eastAsia" w:ascii="方正仿宋_GBK" w:hAnsi="方正仿宋_GBK" w:eastAsia="方正仿宋_GBK" w:cs="方正仿宋_GBK"/>
          <w:spacing w:val="-2"/>
          <w:kern w:val="10"/>
          <w:sz w:val="32"/>
          <w:szCs w:val="32"/>
        </w:rPr>
      </w:pPr>
      <w:r>
        <w:rPr>
          <w:rFonts w:hint="eastAsia" w:ascii="方正仿宋_GBK" w:hAnsi="方正仿宋_GBK" w:eastAsia="方正仿宋_GBK" w:cs="方正仿宋_GBK"/>
          <w:spacing w:val="-2"/>
          <w:kern w:val="10"/>
          <w:sz w:val="32"/>
          <w:szCs w:val="32"/>
        </w:rPr>
        <w:t xml:space="preserve">                                201</w:t>
      </w:r>
      <w:r>
        <w:rPr>
          <w:rFonts w:hint="eastAsia" w:ascii="方正仿宋_GBK" w:hAnsi="方正仿宋_GBK" w:eastAsia="方正仿宋_GBK" w:cs="方正仿宋_GBK"/>
          <w:spacing w:val="-2"/>
          <w:kern w:val="10"/>
          <w:sz w:val="32"/>
          <w:szCs w:val="32"/>
          <w:lang w:val="en-US" w:eastAsia="zh-CN"/>
        </w:rPr>
        <w:t>8</w:t>
      </w:r>
      <w:r>
        <w:rPr>
          <w:rFonts w:hint="eastAsia" w:ascii="方正仿宋_GBK" w:hAnsi="方正仿宋_GBK" w:eastAsia="方正仿宋_GBK" w:cs="方正仿宋_GBK"/>
          <w:spacing w:val="-2"/>
          <w:kern w:val="10"/>
          <w:sz w:val="32"/>
          <w:szCs w:val="32"/>
        </w:rPr>
        <w:t>年</w:t>
      </w:r>
      <w:r>
        <w:rPr>
          <w:rFonts w:hint="eastAsia" w:ascii="方正仿宋_GBK" w:hAnsi="方正仿宋_GBK" w:eastAsia="方正仿宋_GBK" w:cs="方正仿宋_GBK"/>
          <w:spacing w:val="-2"/>
          <w:kern w:val="10"/>
          <w:sz w:val="32"/>
          <w:szCs w:val="32"/>
          <w:lang w:val="en-US" w:eastAsia="zh-CN"/>
        </w:rPr>
        <w:t>3</w:t>
      </w:r>
      <w:r>
        <w:rPr>
          <w:rFonts w:hint="eastAsia" w:ascii="方正仿宋_GBK" w:hAnsi="方正仿宋_GBK" w:eastAsia="方正仿宋_GBK" w:cs="方正仿宋_GBK"/>
          <w:spacing w:val="-2"/>
          <w:kern w:val="10"/>
          <w:sz w:val="32"/>
          <w:szCs w:val="32"/>
        </w:rPr>
        <w:t>月</w:t>
      </w:r>
      <w:r>
        <w:rPr>
          <w:rFonts w:hint="eastAsia" w:ascii="方正仿宋_GBK" w:hAnsi="方正仿宋_GBK" w:eastAsia="方正仿宋_GBK" w:cs="方正仿宋_GBK"/>
          <w:spacing w:val="-2"/>
          <w:kern w:val="10"/>
          <w:sz w:val="32"/>
          <w:szCs w:val="32"/>
          <w:lang w:val="en-US" w:eastAsia="zh-CN"/>
        </w:rPr>
        <w:t>20</w:t>
      </w:r>
      <w:r>
        <w:rPr>
          <w:rFonts w:hint="eastAsia" w:ascii="方正仿宋_GBK" w:hAnsi="方正仿宋_GBK" w:eastAsia="方正仿宋_GBK" w:cs="方正仿宋_GBK"/>
          <w:spacing w:val="-2"/>
          <w:kern w:val="10"/>
          <w:sz w:val="32"/>
          <w:szCs w:val="32"/>
        </w:rPr>
        <w:t>日</w:t>
      </w:r>
    </w:p>
    <w:p>
      <w:pPr>
        <w:spacing w:line="520" w:lineRule="exact"/>
        <w:rPr>
          <w:rFonts w:hint="eastAsia" w:ascii="方正仿宋_GBK" w:hAnsi="方正仿宋_GBK" w:eastAsia="方正仿宋_GBK" w:cs="方正仿宋_GBK"/>
          <w:sz w:val="32"/>
          <w:szCs w:val="32"/>
          <w:u w:val="thick"/>
        </w:rPr>
      </w:pPr>
    </w:p>
    <w:p>
      <w:pPr>
        <w:spacing w:line="520" w:lineRule="exact"/>
        <w:rPr>
          <w:sz w:val="32"/>
          <w:szCs w:val="32"/>
          <w:u w:val="thick"/>
        </w:rPr>
      </w:pPr>
    </w:p>
    <w:p>
      <w:pPr>
        <w:spacing w:line="520" w:lineRule="exact"/>
        <w:rPr>
          <w:sz w:val="32"/>
          <w:szCs w:val="32"/>
          <w:u w:val="thick"/>
        </w:rPr>
      </w:pPr>
    </w:p>
    <w:p>
      <w:pPr>
        <w:spacing w:line="520" w:lineRule="exact"/>
        <w:rPr>
          <w:sz w:val="32"/>
          <w:szCs w:val="32"/>
          <w:u w:val="thick"/>
        </w:rPr>
      </w:pPr>
    </w:p>
    <w:p>
      <w:pPr>
        <w:spacing w:line="520" w:lineRule="exact"/>
        <w:rPr>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rFonts w:hint="eastAsia"/>
          <w:sz w:val="32"/>
          <w:szCs w:val="32"/>
          <w:u w:val="thick"/>
        </w:rPr>
      </w:pPr>
    </w:p>
    <w:p>
      <w:pPr>
        <w:spacing w:line="520" w:lineRule="exact"/>
        <w:rPr>
          <w:sz w:val="32"/>
          <w:szCs w:val="32"/>
          <w:u w:val="thick"/>
        </w:rPr>
      </w:pPr>
      <w:r>
        <w:rPr>
          <w:rFonts w:hint="eastAsia"/>
          <w:sz w:val="32"/>
          <w:szCs w:val="32"/>
          <w:u w:val="thick"/>
        </w:rPr>
        <w:t xml:space="preserve">                                                    </w:t>
      </w:r>
    </w:p>
    <w:p>
      <w:pPr>
        <w:spacing w:line="520" w:lineRule="exact"/>
        <w:rPr>
          <w:sz w:val="32"/>
          <w:szCs w:val="32"/>
          <w:u w:val="thick"/>
        </w:rPr>
      </w:pPr>
      <w:r>
        <w:rPr>
          <w:rFonts w:hint="eastAsia" w:ascii="仿宋" w:hAnsi="仿宋" w:eastAsia="仿宋"/>
          <w:sz w:val="28"/>
          <w:szCs w:val="28"/>
          <w:u w:val="thick"/>
        </w:rPr>
        <w:t>香格里拉市园林绿化管理局办公室        201</w:t>
      </w:r>
      <w:r>
        <w:rPr>
          <w:rFonts w:hint="eastAsia" w:ascii="仿宋" w:hAnsi="仿宋" w:eastAsia="仿宋"/>
          <w:sz w:val="28"/>
          <w:szCs w:val="28"/>
          <w:u w:val="thick"/>
          <w:lang w:val="en-US" w:eastAsia="zh-CN"/>
        </w:rPr>
        <w:t>8</w:t>
      </w:r>
      <w:r>
        <w:rPr>
          <w:rFonts w:hint="eastAsia" w:ascii="仿宋" w:hAnsi="仿宋" w:eastAsia="仿宋"/>
          <w:sz w:val="28"/>
          <w:szCs w:val="28"/>
          <w:u w:val="thick"/>
        </w:rPr>
        <w:t>年</w:t>
      </w:r>
      <w:r>
        <w:rPr>
          <w:rFonts w:hint="eastAsia" w:ascii="仿宋" w:hAnsi="仿宋" w:eastAsia="仿宋"/>
          <w:sz w:val="28"/>
          <w:szCs w:val="28"/>
          <w:u w:val="thick"/>
          <w:lang w:val="en-US" w:eastAsia="zh-CN"/>
        </w:rPr>
        <w:t>3</w:t>
      </w:r>
      <w:r>
        <w:rPr>
          <w:rFonts w:hint="eastAsia" w:ascii="仿宋" w:hAnsi="仿宋" w:eastAsia="仿宋"/>
          <w:sz w:val="28"/>
          <w:szCs w:val="28"/>
          <w:u w:val="thick"/>
        </w:rPr>
        <w:t>月</w:t>
      </w:r>
      <w:r>
        <w:rPr>
          <w:rFonts w:hint="eastAsia" w:ascii="仿宋" w:hAnsi="仿宋" w:eastAsia="仿宋"/>
          <w:sz w:val="28"/>
          <w:szCs w:val="28"/>
          <w:u w:val="thick"/>
          <w:lang w:val="en-US" w:eastAsia="zh-CN"/>
        </w:rPr>
        <w:t>20</w:t>
      </w:r>
      <w:r>
        <w:rPr>
          <w:rFonts w:hint="eastAsia" w:ascii="仿宋" w:hAnsi="仿宋" w:eastAsia="仿宋"/>
          <w:sz w:val="28"/>
          <w:szCs w:val="28"/>
          <w:u w:val="thick"/>
        </w:rPr>
        <w:t xml:space="preserve">日 印发  </w:t>
      </w:r>
    </w:p>
    <w:p>
      <w:pPr>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第一章</w:t>
      </w:r>
      <w:r>
        <w:rPr>
          <w:rFonts w:hint="eastAsia" w:ascii="方正仿宋_GBK" w:hAnsi="方正仿宋_GBK" w:eastAsia="方正仿宋_GBK" w:cs="方正仿宋_GBK"/>
          <w:b/>
          <w:bCs/>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i w:val="0"/>
          <w:caps w:val="0"/>
          <w:color w:val="000000"/>
          <w:spacing w:val="0"/>
          <w:sz w:val="32"/>
          <w:szCs w:val="32"/>
          <w:shd w:val="clear" w:fill="FFFFFF"/>
        </w:rPr>
        <w:t>为</w:t>
      </w:r>
      <w:r>
        <w:rPr>
          <w:rFonts w:hint="eastAsia" w:ascii="方正仿宋_GBK" w:hAnsi="方正仿宋_GBK" w:eastAsia="方正仿宋_GBK" w:cs="方正仿宋_GBK"/>
          <w:b w:val="0"/>
          <w:i w:val="0"/>
          <w:caps w:val="0"/>
          <w:color w:val="000000"/>
          <w:spacing w:val="0"/>
          <w:sz w:val="32"/>
          <w:szCs w:val="32"/>
          <w:shd w:val="clear" w:fill="FFFFFF"/>
          <w:lang w:eastAsia="zh-CN"/>
        </w:rPr>
        <w:t>增强香格里拉市</w:t>
      </w:r>
      <w:r>
        <w:rPr>
          <w:rFonts w:hint="eastAsia" w:ascii="方正仿宋_GBK" w:hAnsi="方正仿宋_GBK" w:eastAsia="方正仿宋_GBK" w:cs="方正仿宋_GBK"/>
          <w:b w:val="0"/>
          <w:i w:val="0"/>
          <w:caps w:val="0"/>
          <w:color w:val="000000"/>
          <w:spacing w:val="0"/>
          <w:sz w:val="32"/>
          <w:szCs w:val="32"/>
          <w:shd w:val="clear" w:fill="FFFFFF"/>
        </w:rPr>
        <w:t>园林绿化工程规划</w:t>
      </w:r>
      <w:r>
        <w:rPr>
          <w:rFonts w:hint="eastAsia" w:ascii="方正仿宋_GBK" w:hAnsi="方正仿宋_GBK" w:eastAsia="方正仿宋_GBK" w:cs="方正仿宋_GBK"/>
          <w:b w:val="0"/>
          <w:i w:val="0"/>
          <w:caps w:val="0"/>
          <w:color w:val="000000"/>
          <w:spacing w:val="0"/>
          <w:sz w:val="32"/>
          <w:szCs w:val="32"/>
          <w:shd w:val="clear" w:fill="FFFFFF"/>
          <w:lang w:eastAsia="zh-CN"/>
        </w:rPr>
        <w:t>与</w:t>
      </w:r>
      <w:r>
        <w:rPr>
          <w:rFonts w:hint="eastAsia" w:ascii="方正仿宋_GBK" w:hAnsi="方正仿宋_GBK" w:eastAsia="方正仿宋_GBK" w:cs="方正仿宋_GBK"/>
          <w:b w:val="0"/>
          <w:i w:val="0"/>
          <w:caps w:val="0"/>
          <w:color w:val="000000"/>
          <w:spacing w:val="0"/>
          <w:sz w:val="32"/>
          <w:szCs w:val="32"/>
          <w:shd w:val="clear" w:fill="FFFFFF"/>
        </w:rPr>
        <w:t>设计水平</w:t>
      </w:r>
      <w:r>
        <w:rPr>
          <w:rFonts w:hint="eastAsia" w:ascii="方正仿宋_GBK" w:hAnsi="方正仿宋_GBK" w:eastAsia="方正仿宋_GBK" w:cs="方正仿宋_GBK"/>
          <w:b w:val="0"/>
          <w:i w:val="0"/>
          <w:caps w:val="0"/>
          <w:color w:val="000000"/>
          <w:spacing w:val="0"/>
          <w:sz w:val="32"/>
          <w:szCs w:val="32"/>
          <w:shd w:val="clear" w:fill="FFFFFF"/>
          <w:lang w:eastAsia="zh-CN"/>
        </w:rPr>
        <w:t>，提高</w:t>
      </w:r>
      <w:r>
        <w:rPr>
          <w:rFonts w:hint="eastAsia" w:ascii="方正仿宋_GBK" w:hAnsi="方正仿宋_GBK" w:eastAsia="方正仿宋_GBK" w:cs="方正仿宋_GBK"/>
          <w:b w:val="0"/>
          <w:i w:val="0"/>
          <w:caps w:val="0"/>
          <w:color w:val="000000"/>
          <w:spacing w:val="0"/>
          <w:sz w:val="32"/>
          <w:szCs w:val="32"/>
          <w:shd w:val="clear" w:fill="FFFFFF"/>
        </w:rPr>
        <w:t>园林</w:t>
      </w:r>
      <w:r>
        <w:rPr>
          <w:rFonts w:hint="eastAsia" w:ascii="方正仿宋_GBK" w:hAnsi="方正仿宋_GBK" w:eastAsia="方正仿宋_GBK" w:cs="方正仿宋_GBK"/>
          <w:b w:val="0"/>
          <w:i w:val="0"/>
          <w:caps w:val="0"/>
          <w:color w:val="000000"/>
          <w:spacing w:val="0"/>
          <w:sz w:val="32"/>
          <w:szCs w:val="32"/>
          <w:shd w:val="clear" w:fill="FFFFFF"/>
          <w:lang w:eastAsia="zh-CN"/>
        </w:rPr>
        <w:t>绿化工程质量，</w:t>
      </w:r>
      <w:r>
        <w:rPr>
          <w:rFonts w:hint="eastAsia" w:ascii="方正仿宋_GBK" w:hAnsi="方正仿宋_GBK" w:eastAsia="方正仿宋_GBK" w:cs="方正仿宋_GBK"/>
          <w:b w:val="0"/>
          <w:i w:val="0"/>
          <w:caps w:val="0"/>
          <w:color w:val="000000"/>
          <w:spacing w:val="0"/>
          <w:sz w:val="32"/>
          <w:szCs w:val="32"/>
          <w:shd w:val="clear" w:fill="FFFFFF"/>
        </w:rPr>
        <w:t>加强园林绿化工程管理</w:t>
      </w:r>
      <w:r>
        <w:rPr>
          <w:rFonts w:hint="eastAsia" w:ascii="方正仿宋_GBK" w:hAnsi="方正仿宋_GBK" w:eastAsia="方正仿宋_GBK" w:cs="方正仿宋_GBK"/>
          <w:b w:val="0"/>
          <w:i w:val="0"/>
          <w:caps w:val="0"/>
          <w:color w:val="000000"/>
          <w:spacing w:val="0"/>
          <w:sz w:val="32"/>
          <w:szCs w:val="32"/>
          <w:shd w:val="clear" w:fill="FFFFFF"/>
          <w:lang w:eastAsia="zh-CN"/>
        </w:rPr>
        <w:t>，制定本制度。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val="0"/>
          <w:i w:val="0"/>
          <w:caps w:val="0"/>
          <w:color w:val="000000"/>
          <w:spacing w:val="0"/>
          <w:sz w:val="32"/>
          <w:szCs w:val="32"/>
          <w:shd w:val="clear" w:fill="FFFFFF"/>
          <w:lang w:eastAsia="zh-CN"/>
        </w:rPr>
        <w:t>二、本制度所称园林绿化工程是指：城市公园、游园、街旁绿地、防护绿地、道路绿化、企事业单位绿化和居住区附属绿地绿化以及与之相关的园林小品、花坛、草坪、假山、园路项目建设等。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val="0"/>
          <w:i w:val="0"/>
          <w:caps w:val="0"/>
          <w:color w:val="000000"/>
          <w:spacing w:val="0"/>
          <w:sz w:val="32"/>
          <w:szCs w:val="32"/>
          <w:shd w:val="clear" w:fill="FFFFFF"/>
          <w:lang w:eastAsia="zh-CN"/>
        </w:rPr>
        <w:t>三、本制度所称城市园林绿化工程企业，是指从事城市园林绿化规划设计和施工等企业。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r>
        <w:rPr>
          <w:rFonts w:hint="eastAsia" w:ascii="方正仿宋_GBK" w:hAnsi="方正仿宋_GBK" w:eastAsia="方正仿宋_GBK" w:cs="方正仿宋_GBK"/>
          <w:b w:val="0"/>
          <w:i w:val="0"/>
          <w:caps w:val="0"/>
          <w:color w:val="000000"/>
          <w:spacing w:val="0"/>
          <w:sz w:val="32"/>
          <w:szCs w:val="32"/>
          <w:shd w:val="clear" w:fill="FFFFFF"/>
          <w:lang w:eastAsia="zh-CN"/>
        </w:rPr>
        <w:t>四、全市各类绿地规划设计、建设施工、工程管理和养护必须遵守本制度。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lang w:eastAsia="zh-CN"/>
        </w:rPr>
      </w:pPr>
    </w:p>
    <w:p>
      <w:pPr>
        <w:jc w:val="both"/>
        <w:rPr>
          <w:rFonts w:hint="eastAsia" w:ascii="方正仿宋_GBK" w:hAnsi="方正仿宋_GBK" w:eastAsia="方正仿宋_GBK" w:cs="方正仿宋_GBK"/>
          <w:b w:val="0"/>
          <w:i w:val="0"/>
          <w:caps w:val="0"/>
          <w:color w:val="000000"/>
          <w:spacing w:val="0"/>
          <w:sz w:val="32"/>
          <w:szCs w:val="32"/>
          <w:shd w:val="clear" w:fill="FFFFFF"/>
          <w:lang w:val="en-US" w:eastAsia="zh-CN"/>
        </w:rPr>
      </w:pP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b/>
          <w:bCs/>
          <w:i w:val="0"/>
          <w:caps w:val="0"/>
          <w:color w:val="000000"/>
          <w:spacing w:val="0"/>
          <w:sz w:val="32"/>
          <w:szCs w:val="32"/>
          <w:shd w:val="clear" w:fill="FFFFFF"/>
          <w:lang w:val="en-US" w:eastAsia="zh-CN"/>
        </w:rPr>
        <w:t xml:space="preserve"> 第二章  基本原则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贯彻落实可持续发展理念。城市园林绿化建设应该统筹兼顾生态环境效应和景观效应。</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因地制宜。在总体符合国家部门的有关标准的基础上，宜地宜时、科学合理的根据本市高原环境气候制定相配套的园林绿化标准和管理制度。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以人为本。城市绿地建设应体现人与自然和谐相处的原则，各种绿地建设要积极考虑人性化需求，为城市创造良好的生态环境和景观效果，为市民提供一个健康、美好的生活环境。</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科学规划、合理绿化。规划的各类城市绿地要符合科学性原则，坚持先规划后建设的原则，做到建设必有规划，施工必有设计。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坚持“三高”、“三化”、“三精”，即坚持高起点、高标准、高品位的原则，坚持标准化、规范化、工艺化的要求，坚持各环节做到精心、精细、精品的目标。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建设环境友好型、资源建设节约型的精品高原园林城市。按照自然资源和社会资源循环与合理利用的原则，在城市园林绿化规划设计、建设施工、养护管理等各个环节中最大限度的节约各种资源，提高资源使用效率，减少资源消耗和浪费，以便获取最大的环境、经济和社会效应。</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p>
    <w:p>
      <w:pPr>
        <w:widowControl w:val="0"/>
        <w:numPr>
          <w:ilvl w:val="0"/>
          <w:numId w:val="2"/>
        </w:numPr>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总体要求</w:t>
      </w:r>
    </w:p>
    <w:p>
      <w:pPr>
        <w:widowControl w:val="0"/>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一、园林绿化必须遵守《中华人民共和国城乡规划法》、《 城市绿化条例》、《公园设计规范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GB51192-2016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城市绿地设计规范GB50420-2007》、《城市绿化工程及验收规范CJJ/T82-99》、《城市道路绿化规划与设计规范CJJ75-97》、《城市绿地规划建设指标的规定（建城{1993}784号）》、《城市绿线管理办法》、《城市湿地公园规划设计导则（试行）》、《香格里拉市总体规划》、《香格里拉城市绿地系统规划》、《香格里拉城市绿化养护管理标准》等法律、法规。</w:t>
      </w:r>
    </w:p>
    <w:p>
      <w:pPr>
        <w:widowControl w:val="0"/>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二、城市绿地建设与城市建设同步，保证公园绿地500米服务半径，大力建设城市公园绿地，结合高原气候地理条件，打造高原特色园林城市。</w:t>
      </w:r>
    </w:p>
    <w:p>
      <w:pPr>
        <w:widowControl w:val="0"/>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三、城市改造项目中的绿地履行报批手续，必须经过城市绿化行政主管部门审批，报市人民政府行政部门同意后方可开始施工。</w:t>
      </w:r>
    </w:p>
    <w:p>
      <w:pPr>
        <w:widowControl w:val="0"/>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四、新建道路绿化以适应高原气候的常绿乔木为主，满足道路绿化普及率达到95%以上。</w:t>
      </w:r>
    </w:p>
    <w:p>
      <w:pPr>
        <w:widowControl w:val="0"/>
        <w:numPr>
          <w:ilvl w:val="0"/>
          <w:numId w:val="0"/>
        </w:numPr>
        <w:jc w:val="both"/>
        <w:rPr>
          <w:rFonts w:hint="eastAsia" w:ascii="方正仿宋_GBK" w:hAnsi="方正仿宋_GBK" w:eastAsia="方正仿宋_GBK" w:cs="方正仿宋_GBK"/>
          <w:b/>
          <w:bCs/>
          <w:sz w:val="32"/>
          <w:szCs w:val="32"/>
          <w:lang w:val="en-US" w:eastAsia="zh-CN"/>
        </w:rPr>
      </w:pPr>
    </w:p>
    <w:p>
      <w:pPr>
        <w:widowControl w:val="0"/>
        <w:numPr>
          <w:ilvl w:val="0"/>
          <w:numId w:val="0"/>
        </w:numPr>
        <w:ind w:firstLine="2891" w:firstLineChars="9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第四章 规划设计与管理</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一、城市绿地的布局和规划应严格按照已批准的城市绿地系统规划执行，确定绿地的范围和性质，从而科学的进行绿地规划和设计。</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二、城市绿地设计要体现资源节约和生态文明的可持续发展理念，规划设计要联系实际，凸显以人为本，并对绿地实行科学有效的管理方式。</w:t>
      </w:r>
    </w:p>
    <w:p>
      <w:pPr>
        <w:widowControl w:val="0"/>
        <w:numPr>
          <w:ilvl w:val="0"/>
          <w:numId w:val="3"/>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各类城市绿地的规划设计应由持有相应规划设计资格证书的单位承担，与之相关的规划设计方案按规定报城市园林绿化行政主管部门审查批准。</w:t>
      </w:r>
    </w:p>
    <w:p>
      <w:pPr>
        <w:widowControl w:val="0"/>
        <w:numPr>
          <w:ilvl w:val="0"/>
          <w:numId w:val="4"/>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各类新建和扩建项目，经规划部门审批，获得《规划许可证》后，报市城市绿化行政主管部门进行绿化指标、绿化方案的审批。</w:t>
      </w:r>
    </w:p>
    <w:p>
      <w:pPr>
        <w:widowControl w:val="0"/>
        <w:numPr>
          <w:ilvl w:val="0"/>
          <w:numId w:val="5"/>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若在主城绿化范围内建设规模在300平方米以上的公园绿地，需要将规划方案报市级园林绿化主管部门审批；建设规模在300平方米以下的公园绿地，规划方案有属地园林绿化行政主管部门审批。</w:t>
      </w:r>
    </w:p>
    <w:p>
      <w:pPr>
        <w:widowControl w:val="0"/>
        <w:numPr>
          <w:ilvl w:val="0"/>
          <w:numId w:val="0"/>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六、园林绿化行政主管部门，负责对绿化建设项目的规划设计以及研究成果归类归档。</w:t>
      </w:r>
    </w:p>
    <w:p>
      <w:pPr>
        <w:widowControl w:val="0"/>
        <w:numPr>
          <w:ilvl w:val="0"/>
          <w:numId w:val="6"/>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绿化建设管理</w:t>
      </w:r>
    </w:p>
    <w:p>
      <w:pPr>
        <w:widowControl w:val="0"/>
        <w:numPr>
          <w:ilvl w:val="0"/>
          <w:numId w:val="7"/>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城市园林绿化植物的选择、种植、景观配置要严格按照《香格里拉市园林绿化植物栽植技术规范》实施。</w:t>
      </w:r>
    </w:p>
    <w:p>
      <w:pPr>
        <w:widowControl w:val="0"/>
        <w:numPr>
          <w:ilvl w:val="0"/>
          <w:numId w:val="8"/>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遵循“因地制宜、体现高原特色”的原则进行绿化工程施工建设。</w:t>
      </w:r>
    </w:p>
    <w:p>
      <w:pPr>
        <w:widowControl w:val="0"/>
        <w:numPr>
          <w:ilvl w:val="0"/>
          <w:numId w:val="9"/>
        </w:numPr>
        <w:spacing w:beforeLines="0" w:afterLines="0" w:line="240" w:lineRule="auto"/>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绿化施工现场管理：</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1.在施工前要进行现场勘查、排除各类安全隐患，保障工程能够安全进行。</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2.安排施工临时通道、清理场地垃圾、拆除废弃建筑物、对土质进行检验并制定土质改良优化方案。</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3.苗木进场前提条件是城市园林绿化行政主管部门、监理、建设施工三方同时在场，以便监督苗木种类、质量、数量等符合相关程序和标准。</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4.在苗木种植前必须进行种植区土壤的疏松，达到松土深度30cm，并对较大石块硬物质进行清理,确保植物成活率。</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5.树木种植要按照不同季节、不同气候特点进行栽种。</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6.植株第一次种植时须浇足定根水，出现歪倒现象的要及时扶正加固支撑。</w:t>
      </w:r>
    </w:p>
    <w:p>
      <w:pPr>
        <w:widowControl w:val="0"/>
        <w:numPr>
          <w:ilvl w:val="-1"/>
          <w:numId w:val="0"/>
        </w:numPr>
        <w:spacing w:beforeLines="0" w:afterLines="0" w:line="240" w:lineRule="auto"/>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7.引进树种，须经假植成活后才能进行种植，苗木运输尽可能避开极端天气气候。</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八、绿化施工要求：</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1.城市绿化工程的施工和监理应当由具有城市绿化施工相关资质单位承担，不具备相应资质的单位和个人不得进行施工和监理工作。</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2.承担城市绿化工程施工和监理的相关单位以及负责人，必修严格执行国家行业的相关技术规范，尽职尽责，确保工程按质按期完成。</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凡进行城市绿化施工的企业单位，必须与建设单位签订正式施工合同，缴纳绿化施工保证金；凡是向属地绿化行政主管部门申请移植绿化树种且经过批准的，须向属地绿化行政主管部门签订保证移植树木成活合同书，若移植苗木死亡则按照苗木价格的3倍进行赔偿。</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4.施工前，设计规划单位应向施工单位进行交底工作，施工人员应按照设计图纸进行现场核对，如有不符之处，应及时向规划设计单位反映以及要求变更设计，开工前应编制施工计划书。  </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5.施工单位必须文明施工，遵守城市管理规定。作业区域以及周边的各种垃圾须及时清理，（包括苗木修剪的枝条、土球包装袋、日常垃圾、建筑垃圾等）不得影响市容卫生，同时将对市民的日常影响降到最低。 </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6.苗木进场未进行假植的必须在一个星期内入土种植完成。7.园林绿化建设施工单位进行园林绿化施工时，必须严格按照工程合同执行。</w:t>
      </w:r>
    </w:p>
    <w:p>
      <w:pPr>
        <w:widowControl w:val="0"/>
        <w:numPr>
          <w:ilvl w:val="0"/>
          <w:numId w:val="1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工程竣工后，施工企业、单位必须绘制竣工图，做好工程的决算和竣工报告，以便建设单位验收审计。</w:t>
      </w:r>
    </w:p>
    <w:p>
      <w:pPr>
        <w:widowControl w:val="0"/>
        <w:numPr>
          <w:ilvl w:val="0"/>
          <w:numId w:val="11"/>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竣工验收：</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1.工程竣工验收时，建设单位应向验收部门提供以下有关文件：</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（1）经批准的绿化设计；</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（2）绿化工程竣工图纸；</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（3）土壤及水质化验报告；</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（4）工程中间验收记录；</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（5）设计变更文件；</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（6）竣工图和工程决算；</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（7）苗木检验报告；</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（8）附属设施用材合格证或试验报告；</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（9）施工总结报告</w:t>
      </w:r>
    </w:p>
    <w:p>
      <w:pPr>
        <w:widowControl w:val="0"/>
        <w:numPr>
          <w:ilvl w:val="0"/>
          <w:numId w:val="12"/>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绿化验收的具体标准和规范：</w:t>
      </w:r>
    </w:p>
    <w:p>
      <w:pPr>
        <w:widowControl w:val="0"/>
        <w:numPr>
          <w:ilvl w:val="0"/>
          <w:numId w:val="13"/>
        </w:numPr>
        <w:spacing w:beforeLines="0" w:afterLines="0"/>
        <w:ind w:left="600"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新种植的乔木、灌木、攀援植物，应在一个生长周期满后方可进行验收。乔灌木的成活率应达到95%以上，并对未成活植物适时进行补栽。珍贵树种、孤植树和行道树成活率应达到100％。</w:t>
      </w:r>
    </w:p>
    <w:p>
      <w:pPr>
        <w:widowControl w:val="0"/>
        <w:numPr>
          <w:ilvl w:val="0"/>
          <w:numId w:val="14"/>
        </w:numPr>
        <w:spacing w:beforeLines="0" w:afterLines="0"/>
        <w:ind w:left="600"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地被植物应在当年成活后，盖度达到80%以上方可验收。</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（3）草坪无杂草、无枯黄、无病虫害，覆盖率应达到95%以上方可验收。</w:t>
      </w:r>
    </w:p>
    <w:p>
      <w:pPr>
        <w:widowControl w:val="0"/>
        <w:numPr>
          <w:ilvl w:val="0"/>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（4）花坛种植的一、二年生花卉及观叶植物，应在种植15天后进行验收。宿根花卉、球根花卉，应在第二年发芽出土、发绿开花后进行验收。</w:t>
      </w:r>
    </w:p>
    <w:p>
      <w:pPr>
        <w:widowControl w:val="0"/>
        <w:numPr>
          <w:ilvl w:val="0"/>
          <w:numId w:val="15"/>
        </w:numPr>
        <w:ind w:left="3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绿化工程验收将按照相关要求进行验收，验收评分标准必须达到合格以上。绿地附属设施工程的质量验收应符合《建筑安装工程质量检验评定统一标准（GBJ301）》的有关规定。</w:t>
      </w:r>
    </w:p>
    <w:p>
      <w:pPr>
        <w:widowControl w:val="0"/>
        <w:numPr>
          <w:ilvl w:val="0"/>
          <w:numId w:val="0"/>
        </w:numPr>
        <w:jc w:val="both"/>
        <w:rPr>
          <w:rFonts w:hint="eastAsia" w:ascii="方正仿宋_GBK" w:hAnsi="方正仿宋_GBK" w:eastAsia="方正仿宋_GBK" w:cs="方正仿宋_GBK"/>
          <w:b w:val="0"/>
          <w:bCs w:val="0"/>
          <w:sz w:val="32"/>
          <w:szCs w:val="32"/>
          <w:lang w:val="en-US" w:eastAsia="zh-CN"/>
        </w:rPr>
      </w:pPr>
    </w:p>
    <w:p>
      <w:pPr>
        <w:widowControl w:val="0"/>
        <w:numPr>
          <w:ilvl w:val="0"/>
          <w:numId w:val="16"/>
        </w:numPr>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养护管理</w:t>
      </w:r>
    </w:p>
    <w:p>
      <w:pPr>
        <w:widowControl w:val="0"/>
        <w:numPr>
          <w:ilvl w:val="-1"/>
          <w:numId w:val="0"/>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1.城市绿化养护管理是保障城市生态绿化稳定、景观效应良突出、打造宜居环境等重要手段。</w:t>
      </w:r>
    </w:p>
    <w:p>
      <w:pPr>
        <w:widowControl w:val="0"/>
        <w:numPr>
          <w:ilvl w:val="-1"/>
          <w:numId w:val="0"/>
        </w:numPr>
        <w:spacing w:beforeLines="0" w:afterLines="0"/>
        <w:ind w:firstLine="0" w:firstLineChar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2.养护管理是指城市范围内的各类绿地，包括：</w:t>
      </w:r>
    </w:p>
    <w:p>
      <w:pPr>
        <w:widowControl w:val="0"/>
        <w:numPr>
          <w:ilvl w:val="0"/>
          <w:numId w:val="17"/>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公园绿地（综合公园、社区公园、专类公园、街旁绿地）。</w:t>
      </w:r>
    </w:p>
    <w:p>
      <w:pPr>
        <w:widowControl w:val="0"/>
        <w:numPr>
          <w:ilvl w:val="0"/>
          <w:numId w:val="18"/>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附属绿地（居住用地、公共设施用地、工业用地、仓储用地、对外交通用地、道路广场用地、市政设施用地和特殊用地中的绿地）。</w:t>
      </w:r>
    </w:p>
    <w:p>
      <w:pPr>
        <w:widowControl w:val="0"/>
        <w:numPr>
          <w:ilvl w:val="0"/>
          <w:numId w:val="19"/>
        </w:numPr>
        <w:spacing w:beforeLines="0" w:afterLines="0"/>
        <w:ind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防护绿地（卫生隔离带、道路防护绿地、城市高压走廊）。</w:t>
      </w:r>
    </w:p>
    <w:p>
      <w:pPr>
        <w:widowControl w:val="0"/>
        <w:numPr>
          <w:ilvl w:val="0"/>
          <w:numId w:val="19"/>
        </w:numPr>
        <w:spacing w:beforeLines="0" w:afterLines="0"/>
        <w:ind w:left="0" w:leftChars="0" w:firstLine="640"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其他绿地（风景名胜区、水源保护区、郊野公园、森林公园、湿地公园、自然保护区、风景林地、城市绿化隔离带、野生动植物园、湿地、垃圾填埋场恢复绿地等）养护管理标准按照《香格里拉城市园林植物养护标准》执行实施。</w:t>
      </w:r>
    </w:p>
    <w:p>
      <w:pPr>
        <w:widowControl w:val="0"/>
        <w:numPr>
          <w:ilvl w:val="0"/>
          <w:numId w:val="0"/>
        </w:numPr>
        <w:spacing w:beforeLines="0" w:afterLines="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3.本制度自发布之日起执行。</w:t>
      </w:r>
    </w:p>
    <w:p>
      <w:pPr>
        <w:spacing w:line="560" w:lineRule="exact"/>
        <w:rPr>
          <w:rFonts w:hint="eastAsia" w:ascii="方正仿宋_GBK" w:hAnsi="方正仿宋_GBK" w:eastAsia="方正仿宋_GBK" w:cs="方正仿宋_GBK"/>
          <w:spacing w:val="-2"/>
          <w:kern w:val="10"/>
          <w:sz w:val="32"/>
          <w:szCs w:val="32"/>
        </w:rPr>
      </w:pPr>
    </w:p>
    <w:p>
      <w:pPr>
        <w:spacing w:line="560" w:lineRule="exact"/>
        <w:rPr>
          <w:rFonts w:hint="eastAsia" w:ascii="方正仿宋_GBK" w:hAnsi="方正仿宋_GBK" w:eastAsia="方正仿宋_GBK" w:cs="方正仿宋_GBK"/>
          <w:spacing w:val="-2"/>
          <w:kern w:val="10"/>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99EF7DE-6B51-4B07-B521-E0C78305C811}"/>
  </w:font>
  <w:font w:name="楷体">
    <w:panose1 w:val="02010609060101010101"/>
    <w:charset w:val="86"/>
    <w:family w:val="modern"/>
    <w:pitch w:val="default"/>
    <w:sig w:usb0="800002BF" w:usb1="38CF7CFA" w:usb2="00000016" w:usb3="00000000" w:csb0="00040001" w:csb1="00000000"/>
    <w:embedRegular r:id="rId2" w:fontKey="{C6D91437-BB77-4039-B01F-FB277107911E}"/>
  </w:font>
  <w:font w:name="方正仿宋_GBK">
    <w:panose1 w:val="02000000000000000000"/>
    <w:charset w:val="86"/>
    <w:family w:val="script"/>
    <w:pitch w:val="default"/>
    <w:sig w:usb0="A00002BF" w:usb1="38CF7CFA" w:usb2="00082016" w:usb3="00000000" w:csb0="00040001" w:csb1="00000000"/>
    <w:embedRegular r:id="rId3" w:fontKey="{C9C8E6EB-DE68-4EF4-B9DC-C10AAFE8A415}"/>
  </w:font>
  <w:font w:name="仿宋_GB2312">
    <w:panose1 w:val="02010609030101010101"/>
    <w:charset w:val="86"/>
    <w:family w:val="modern"/>
    <w:pitch w:val="default"/>
    <w:sig w:usb0="00000001" w:usb1="080E0000" w:usb2="00000000" w:usb3="00000000" w:csb0="00040000" w:csb1="00000000"/>
    <w:embedRegular r:id="rId4" w:fontKey="{7E320222-6118-4C88-BD4B-640FA1F6BCF3}"/>
  </w:font>
  <w:font w:name="仿宋">
    <w:panose1 w:val="02010609060101010101"/>
    <w:charset w:val="86"/>
    <w:family w:val="modern"/>
    <w:pitch w:val="default"/>
    <w:sig w:usb0="800002BF" w:usb1="38CF7CFA" w:usb2="00000016" w:usb3="00000000" w:csb0="00040001" w:csb1="00000000"/>
    <w:embedRegular r:id="rId5" w:fontKey="{21011115-2543-4226-83AF-BEA51F8806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08933A"/>
    <w:multiLevelType w:val="singleLevel"/>
    <w:tmpl w:val="8F08933A"/>
    <w:lvl w:ilvl="0" w:tentative="0">
      <w:start w:val="2"/>
      <w:numFmt w:val="decimal"/>
      <w:suff w:val="nothing"/>
      <w:lvlText w:val="（%1）"/>
      <w:lvlJc w:val="left"/>
      <w:pPr>
        <w:ind w:left="600" w:leftChars="0" w:firstLine="0" w:firstLineChars="0"/>
      </w:pPr>
    </w:lvl>
  </w:abstractNum>
  <w:abstractNum w:abstractNumId="1">
    <w:nsid w:val="9B91DB41"/>
    <w:multiLevelType w:val="singleLevel"/>
    <w:tmpl w:val="9B91DB41"/>
    <w:lvl w:ilvl="0" w:tentative="0">
      <w:start w:val="3"/>
      <w:numFmt w:val="decimal"/>
      <w:suff w:val="nothing"/>
      <w:lvlText w:val="（%1）"/>
      <w:lvlJc w:val="left"/>
    </w:lvl>
  </w:abstractNum>
  <w:abstractNum w:abstractNumId="2">
    <w:nsid w:val="AEFD1D5A"/>
    <w:multiLevelType w:val="singleLevel"/>
    <w:tmpl w:val="AEFD1D5A"/>
    <w:lvl w:ilvl="0" w:tentative="0">
      <w:start w:val="1"/>
      <w:numFmt w:val="chineseCounting"/>
      <w:suff w:val="nothing"/>
      <w:lvlText w:val="（%1）"/>
      <w:lvlJc w:val="left"/>
      <w:rPr>
        <w:rFonts w:hint="eastAsia"/>
      </w:rPr>
    </w:lvl>
  </w:abstractNum>
  <w:abstractNum w:abstractNumId="3">
    <w:nsid w:val="BD2D3784"/>
    <w:multiLevelType w:val="singleLevel"/>
    <w:tmpl w:val="BD2D3784"/>
    <w:lvl w:ilvl="0" w:tentative="0">
      <w:start w:val="3"/>
      <w:numFmt w:val="chineseCounting"/>
      <w:suff w:val="nothing"/>
      <w:lvlText w:val="（%1）"/>
      <w:lvlJc w:val="left"/>
      <w:rPr>
        <w:rFonts w:hint="eastAsia"/>
      </w:rPr>
    </w:lvl>
  </w:abstractNum>
  <w:abstractNum w:abstractNumId="4">
    <w:nsid w:val="C6372FA0"/>
    <w:multiLevelType w:val="singleLevel"/>
    <w:tmpl w:val="C6372FA0"/>
    <w:lvl w:ilvl="0" w:tentative="0">
      <w:start w:val="1"/>
      <w:numFmt w:val="decimal"/>
      <w:suff w:val="nothing"/>
      <w:lvlText w:val="（%1）"/>
      <w:lvlJc w:val="left"/>
      <w:pPr>
        <w:ind w:left="600" w:leftChars="0" w:firstLine="0" w:firstLineChars="0"/>
      </w:pPr>
    </w:lvl>
  </w:abstractNum>
  <w:abstractNum w:abstractNumId="5">
    <w:nsid w:val="E49003AA"/>
    <w:multiLevelType w:val="singleLevel"/>
    <w:tmpl w:val="E49003AA"/>
    <w:lvl w:ilvl="0" w:tentative="0">
      <w:start w:val="4"/>
      <w:numFmt w:val="chineseCounting"/>
      <w:suff w:val="nothing"/>
      <w:lvlText w:val="%1、"/>
      <w:lvlJc w:val="left"/>
      <w:rPr>
        <w:rFonts w:hint="eastAsia"/>
      </w:rPr>
    </w:lvl>
  </w:abstractNum>
  <w:abstractNum w:abstractNumId="6">
    <w:nsid w:val="F93D3485"/>
    <w:multiLevelType w:val="singleLevel"/>
    <w:tmpl w:val="F93D3485"/>
    <w:lvl w:ilvl="0" w:tentative="0">
      <w:start w:val="1"/>
      <w:numFmt w:val="decimal"/>
      <w:suff w:val="nothing"/>
      <w:lvlText w:val="（%1）"/>
      <w:lvlJc w:val="left"/>
    </w:lvl>
  </w:abstractNum>
  <w:abstractNum w:abstractNumId="7">
    <w:nsid w:val="28D388D9"/>
    <w:multiLevelType w:val="singleLevel"/>
    <w:tmpl w:val="28D388D9"/>
    <w:lvl w:ilvl="0" w:tentative="0">
      <w:start w:val="3"/>
      <w:numFmt w:val="chineseCounting"/>
      <w:suff w:val="nothing"/>
      <w:lvlText w:val="%1、"/>
      <w:lvlJc w:val="left"/>
      <w:rPr>
        <w:rFonts w:hint="eastAsia"/>
      </w:rPr>
    </w:lvl>
  </w:abstractNum>
  <w:abstractNum w:abstractNumId="8">
    <w:nsid w:val="2CCE4387"/>
    <w:multiLevelType w:val="singleLevel"/>
    <w:tmpl w:val="2CCE4387"/>
    <w:lvl w:ilvl="0" w:tentative="0">
      <w:start w:val="2"/>
      <w:numFmt w:val="decimal"/>
      <w:lvlText w:val="%1."/>
      <w:lvlJc w:val="left"/>
      <w:pPr>
        <w:tabs>
          <w:tab w:val="left" w:pos="312"/>
        </w:tabs>
      </w:pPr>
    </w:lvl>
  </w:abstractNum>
  <w:abstractNum w:abstractNumId="9">
    <w:nsid w:val="31A3D11E"/>
    <w:multiLevelType w:val="singleLevel"/>
    <w:tmpl w:val="31A3D11E"/>
    <w:lvl w:ilvl="0" w:tentative="0">
      <w:start w:val="7"/>
      <w:numFmt w:val="chineseCounting"/>
      <w:suff w:val="nothing"/>
      <w:lvlText w:val="%1、"/>
      <w:lvlJc w:val="left"/>
      <w:rPr>
        <w:rFonts w:hint="eastAsia"/>
      </w:rPr>
    </w:lvl>
  </w:abstractNum>
  <w:abstractNum w:abstractNumId="10">
    <w:nsid w:val="36D7D153"/>
    <w:multiLevelType w:val="singleLevel"/>
    <w:tmpl w:val="36D7D153"/>
    <w:lvl w:ilvl="0" w:tentative="0">
      <w:start w:val="8"/>
      <w:numFmt w:val="decimal"/>
      <w:lvlText w:val="%1."/>
      <w:lvlJc w:val="left"/>
      <w:pPr>
        <w:tabs>
          <w:tab w:val="left" w:pos="312"/>
        </w:tabs>
      </w:pPr>
    </w:lvl>
  </w:abstractNum>
  <w:abstractNum w:abstractNumId="11">
    <w:nsid w:val="3AC2DAD9"/>
    <w:multiLevelType w:val="singleLevel"/>
    <w:tmpl w:val="3AC2DAD9"/>
    <w:lvl w:ilvl="0" w:tentative="0">
      <w:start w:val="2"/>
      <w:numFmt w:val="decimal"/>
      <w:suff w:val="nothing"/>
      <w:lvlText w:val="（%1）"/>
      <w:lvlJc w:val="left"/>
    </w:lvl>
  </w:abstractNum>
  <w:abstractNum w:abstractNumId="12">
    <w:nsid w:val="4B194924"/>
    <w:multiLevelType w:val="singleLevel"/>
    <w:tmpl w:val="4B194924"/>
    <w:lvl w:ilvl="0" w:tentative="0">
      <w:start w:val="4"/>
      <w:numFmt w:val="decimal"/>
      <w:suff w:val="nothing"/>
      <w:lvlText w:val="（%1）"/>
      <w:lvlJc w:val="left"/>
      <w:pPr>
        <w:ind w:left="300" w:leftChars="0" w:firstLine="0" w:firstLineChars="0"/>
      </w:pPr>
    </w:lvl>
  </w:abstractNum>
  <w:abstractNum w:abstractNumId="13">
    <w:nsid w:val="5925494D"/>
    <w:multiLevelType w:val="singleLevel"/>
    <w:tmpl w:val="5925494D"/>
    <w:lvl w:ilvl="0" w:tentative="0">
      <w:start w:val="1"/>
      <w:numFmt w:val="chineseCounting"/>
      <w:suff w:val="nothing"/>
      <w:lvlText w:val="%1、"/>
      <w:lvlJc w:val="left"/>
    </w:lvl>
  </w:abstractNum>
  <w:abstractNum w:abstractNumId="14">
    <w:nsid w:val="59254F4E"/>
    <w:multiLevelType w:val="singleLevel"/>
    <w:tmpl w:val="59254F4E"/>
    <w:lvl w:ilvl="0" w:tentative="0">
      <w:start w:val="3"/>
      <w:numFmt w:val="chineseCounting"/>
      <w:suff w:val="space"/>
      <w:lvlText w:val="第%1章"/>
      <w:lvlJc w:val="left"/>
    </w:lvl>
  </w:abstractNum>
  <w:abstractNum w:abstractNumId="15">
    <w:nsid w:val="59264F9D"/>
    <w:multiLevelType w:val="singleLevel"/>
    <w:tmpl w:val="59264F9D"/>
    <w:lvl w:ilvl="0" w:tentative="0">
      <w:start w:val="5"/>
      <w:numFmt w:val="chineseCounting"/>
      <w:suff w:val="space"/>
      <w:lvlText w:val="第%1章"/>
      <w:lvlJc w:val="left"/>
    </w:lvl>
  </w:abstractNum>
  <w:abstractNum w:abstractNumId="16">
    <w:nsid w:val="681BC64A"/>
    <w:multiLevelType w:val="singleLevel"/>
    <w:tmpl w:val="681BC64A"/>
    <w:lvl w:ilvl="0" w:tentative="0">
      <w:start w:val="9"/>
      <w:numFmt w:val="chineseCounting"/>
      <w:suff w:val="nothing"/>
      <w:lvlText w:val="%1、"/>
      <w:lvlJc w:val="left"/>
      <w:rPr>
        <w:rFonts w:hint="eastAsia"/>
      </w:rPr>
    </w:lvl>
  </w:abstractNum>
  <w:abstractNum w:abstractNumId="17">
    <w:nsid w:val="68C210E3"/>
    <w:multiLevelType w:val="singleLevel"/>
    <w:tmpl w:val="68C210E3"/>
    <w:lvl w:ilvl="0" w:tentative="0">
      <w:start w:val="5"/>
      <w:numFmt w:val="chineseCounting"/>
      <w:suff w:val="nothing"/>
      <w:lvlText w:val="%1、"/>
      <w:lvlJc w:val="left"/>
      <w:rPr>
        <w:rFonts w:hint="eastAsia"/>
      </w:rPr>
    </w:lvl>
  </w:abstractNum>
  <w:abstractNum w:abstractNumId="18">
    <w:nsid w:val="69EBC324"/>
    <w:multiLevelType w:val="singleLevel"/>
    <w:tmpl w:val="69EBC324"/>
    <w:lvl w:ilvl="0" w:tentative="0">
      <w:start w:val="2"/>
      <w:numFmt w:val="chineseCounting"/>
      <w:suff w:val="nothing"/>
      <w:lvlText w:val="（%1）"/>
      <w:lvlJc w:val="left"/>
      <w:rPr>
        <w:rFonts w:hint="eastAsia"/>
      </w:rPr>
    </w:lvl>
  </w:abstractNum>
  <w:num w:numId="1">
    <w:abstractNumId w:val="13"/>
  </w:num>
  <w:num w:numId="2">
    <w:abstractNumId w:val="14"/>
  </w:num>
  <w:num w:numId="3">
    <w:abstractNumId w:val="7"/>
  </w:num>
  <w:num w:numId="4">
    <w:abstractNumId w:val="5"/>
  </w:num>
  <w:num w:numId="5">
    <w:abstractNumId w:val="17"/>
  </w:num>
  <w:num w:numId="6">
    <w:abstractNumId w:val="9"/>
  </w:num>
  <w:num w:numId="7">
    <w:abstractNumId w:val="2"/>
  </w:num>
  <w:num w:numId="8">
    <w:abstractNumId w:val="18"/>
  </w:num>
  <w:num w:numId="9">
    <w:abstractNumId w:val="3"/>
  </w:num>
  <w:num w:numId="10">
    <w:abstractNumId w:val="10"/>
  </w:num>
  <w:num w:numId="11">
    <w:abstractNumId w:val="16"/>
  </w:num>
  <w:num w:numId="12">
    <w:abstractNumId w:val="8"/>
  </w:num>
  <w:num w:numId="13">
    <w:abstractNumId w:val="4"/>
  </w:num>
  <w:num w:numId="14">
    <w:abstractNumId w:val="0"/>
  </w:num>
  <w:num w:numId="15">
    <w:abstractNumId w:val="12"/>
  </w:num>
  <w:num w:numId="16">
    <w:abstractNumId w:val="15"/>
  </w:num>
  <w:num w:numId="17">
    <w:abstractNumId w:val="6"/>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73328"/>
    <w:rsid w:val="000128F2"/>
    <w:rsid w:val="000B1590"/>
    <w:rsid w:val="000C03FA"/>
    <w:rsid w:val="00167E56"/>
    <w:rsid w:val="00180091"/>
    <w:rsid w:val="002907F8"/>
    <w:rsid w:val="00676337"/>
    <w:rsid w:val="00867B9C"/>
    <w:rsid w:val="00867C0A"/>
    <w:rsid w:val="008F15D0"/>
    <w:rsid w:val="008F777F"/>
    <w:rsid w:val="00A809B4"/>
    <w:rsid w:val="00B33136"/>
    <w:rsid w:val="00B516A6"/>
    <w:rsid w:val="00B82279"/>
    <w:rsid w:val="00D50369"/>
    <w:rsid w:val="00DB3C4D"/>
    <w:rsid w:val="00E95AF2"/>
    <w:rsid w:val="00EC0051"/>
    <w:rsid w:val="0442686F"/>
    <w:rsid w:val="0FE12085"/>
    <w:rsid w:val="17391D91"/>
    <w:rsid w:val="1B6235E0"/>
    <w:rsid w:val="21510145"/>
    <w:rsid w:val="23293EA9"/>
    <w:rsid w:val="2FF812F8"/>
    <w:rsid w:val="3C160913"/>
    <w:rsid w:val="3E7A37AA"/>
    <w:rsid w:val="3ED73328"/>
    <w:rsid w:val="473B0CC6"/>
    <w:rsid w:val="5C5B22E5"/>
    <w:rsid w:val="63AE1553"/>
    <w:rsid w:val="64EE5D6A"/>
    <w:rsid w:val="6972660F"/>
    <w:rsid w:val="751E6C0D"/>
    <w:rsid w:val="7B1666E2"/>
    <w:rsid w:val="7C88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eastAsia="宋体" w:cs="Times New Roman"/>
      <w:sz w:val="24"/>
    </w:rPr>
  </w:style>
  <w:style w:type="character" w:styleId="7">
    <w:name w:val="Strong"/>
    <w:basedOn w:val="6"/>
    <w:qFormat/>
    <w:uiPriority w:val="0"/>
    <w:rPr>
      <w:b/>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4"/>
    <w:qFormat/>
    <w:uiPriority w:val="0"/>
    <w:rPr>
      <w:kern w:val="2"/>
      <w:sz w:val="18"/>
      <w:szCs w:val="18"/>
    </w:rPr>
  </w:style>
  <w:style w:type="character" w:customStyle="1" w:styleId="11">
    <w:name w:val="页脚 Char"/>
    <w:basedOn w:val="6"/>
    <w:link w:val="3"/>
    <w:qFormat/>
    <w:uiPriority w:val="0"/>
    <w:rPr>
      <w:kern w:val="2"/>
      <w:sz w:val="18"/>
      <w:szCs w:val="18"/>
    </w:rPr>
  </w:style>
  <w:style w:type="character" w:customStyle="1" w:styleId="12">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142</Words>
  <Characters>811</Characters>
  <Lines>6</Lines>
  <Paragraphs>1</Paragraphs>
  <ScaleCrop>false</ScaleCrop>
  <LinksUpToDate>false</LinksUpToDate>
  <CharactersWithSpaces>952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2017-08-09T03:31:00Z</dcterms:created>
  <dc:creator>Administrator</dc:creator>
  <cp:lastModifiedBy>爱啃梨的星际碎片</cp:lastModifiedBy>
  <dcterms:modified xsi:type="dcterms:W3CDTF">2018-03-20T08:44:23Z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