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E4C36">
      <w:pPr>
        <w:spacing w:afterLines="50" w:line="540" w:lineRule="exact"/>
        <w:outlineLvl w:val="0"/>
        <w:rPr>
          <w:rFonts w:ascii="方正小标宋_GBK" w:hAnsi="方正小标宋_GBK" w:eastAsia="方正小标宋_GBK" w:cs="方正小标宋_GBK"/>
          <w:sz w:val="30"/>
          <w:szCs w:val="30"/>
        </w:rPr>
      </w:pPr>
      <w:r>
        <w:rPr>
          <w:rFonts w:hint="eastAsia" w:ascii="宋体" w:hAnsi="宋体" w:eastAsia="黑体" w:cs="黑体"/>
          <w:color w:val="000000"/>
          <w:kern w:val="0"/>
          <w:sz w:val="30"/>
          <w:szCs w:val="30"/>
        </w:rPr>
        <w:t xml:space="preserve">附件1 </w:t>
      </w:r>
      <w:r>
        <w:rPr>
          <w:rFonts w:hint="eastAsia" w:ascii="方正小标宋_GBK" w:hAnsi="方正小标宋_GBK" w:eastAsia="方正小标宋_GBK" w:cs="方正小标宋_GBK"/>
          <w:sz w:val="30"/>
          <w:szCs w:val="30"/>
        </w:rPr>
        <w:t xml:space="preserve">   </w:t>
      </w:r>
    </w:p>
    <w:p w14:paraId="59B2F330">
      <w:pPr>
        <w:spacing w:afterLines="50" w:line="540" w:lineRule="exact"/>
        <w:jc w:val="center"/>
        <w:outlineLvl w:val="0"/>
        <w:rPr>
          <w:rFonts w:ascii="宋体" w:hAnsi="宋体" w:eastAsia="方正小标宋_GBK" w:cs="方正小标宋_GBK"/>
          <w:color w:val="000000"/>
          <w:kern w:val="0"/>
          <w:sz w:val="40"/>
          <w:szCs w:val="40"/>
        </w:rPr>
      </w:pPr>
      <w:r>
        <w:rPr>
          <w:rFonts w:hint="eastAsia" w:ascii="宋体" w:hAnsi="宋体" w:eastAsia="方正小标宋_GBK" w:cs="方正小标宋_GBK"/>
          <w:color w:val="000000"/>
          <w:kern w:val="0"/>
          <w:sz w:val="40"/>
          <w:szCs w:val="40"/>
        </w:rPr>
        <w:t>行政许可事项实施规范编制说明</w:t>
      </w:r>
    </w:p>
    <w:p w14:paraId="7FDD9203">
      <w:pPr>
        <w:spacing w:afterLines="50" w:line="540" w:lineRule="exact"/>
        <w:jc w:val="center"/>
        <w:outlineLvl w:val="0"/>
        <w:rPr>
          <w:rFonts w:ascii="方正小标宋_GBK" w:hAnsi="方正小标宋_GBK" w:eastAsia="方正小标宋_GBK" w:cs="方正小标宋_GBK"/>
          <w:sz w:val="30"/>
          <w:szCs w:val="30"/>
        </w:rPr>
      </w:pPr>
    </w:p>
    <w:p w14:paraId="14A40CCD">
      <w:pPr>
        <w:spacing w:afterLines="50" w:line="540" w:lineRule="exact"/>
        <w:jc w:val="center"/>
        <w:outlineLvl w:val="0"/>
        <w:rPr>
          <w:rFonts w:ascii="方正小标宋_GBK" w:hAnsi="方正小标宋_GBK" w:eastAsia="方正小标宋_GBK" w:cs="方正小标宋_GBK"/>
          <w:sz w:val="30"/>
          <w:szCs w:val="30"/>
        </w:rPr>
      </w:pPr>
      <w:r>
        <w:rPr>
          <w:rFonts w:hint="eastAsia" w:ascii="方正小标宋_GBK" w:hAnsi="方正小标宋_GBK" w:eastAsia="方正小标宋_GBK" w:cs="方正小标宋_GBK"/>
          <w:sz w:val="30"/>
          <w:szCs w:val="30"/>
        </w:rPr>
        <w:t>主项实施规范</w:t>
      </w:r>
    </w:p>
    <w:p w14:paraId="23EABDBE">
      <w:pPr>
        <w:spacing w:afterLines="50" w:line="540" w:lineRule="exact"/>
        <w:jc w:val="center"/>
        <w:outlineLvl w:val="0"/>
        <w:rPr>
          <w:rFonts w:ascii="宋体" w:hAnsi="宋体" w:cs="宋体"/>
          <w:color w:val="FF0000"/>
          <w:sz w:val="30"/>
          <w:szCs w:val="30"/>
        </w:rPr>
      </w:pPr>
      <w:r>
        <w:rPr>
          <w:rFonts w:hint="eastAsia" w:ascii="方正楷体_GBK" w:hAnsi="方正楷体_GBK" w:eastAsia="方正楷体_GBK" w:cs="方正楷体_GBK"/>
          <w:sz w:val="30"/>
          <w:szCs w:val="30"/>
        </w:rPr>
        <w:t>（基本要素）</w:t>
      </w:r>
    </w:p>
    <w:p w14:paraId="1B7F2832">
      <w:pPr>
        <w:numPr>
          <w:ilvl w:val="0"/>
          <w:numId w:val="1"/>
        </w:num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行政许可事项名称：</w:t>
      </w:r>
    </w:p>
    <w:p w14:paraId="6B16E5B9">
      <w:pPr>
        <w:spacing w:line="540" w:lineRule="exact"/>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运输危险化学品的车辆进入危险化学品运输车辆限制通行区域审批。</w:t>
      </w:r>
    </w:p>
    <w:p w14:paraId="4D870474">
      <w:pPr>
        <w:spacing w:line="540" w:lineRule="exact"/>
        <w:outlineLvl w:val="1"/>
        <w:rPr>
          <w:rFonts w:ascii="Times New Roman" w:hAnsi="Times New Roman" w:eastAsia="黑体"/>
          <w:sz w:val="30"/>
          <w:szCs w:val="30"/>
        </w:rPr>
      </w:pPr>
      <w:r>
        <w:rPr>
          <w:rFonts w:hint="eastAsia" w:ascii="方正仿宋_GBK" w:hAnsi="方正仿宋_GBK" w:eastAsia="方正仿宋_GBK" w:cs="方正仿宋_GBK"/>
          <w:sz w:val="30"/>
          <w:szCs w:val="30"/>
        </w:rPr>
        <w:t>二、审批</w:t>
      </w:r>
      <w:r>
        <w:rPr>
          <w:rFonts w:hint="eastAsia" w:ascii="Times New Roman" w:hAnsi="Times New Roman" w:eastAsia="黑体"/>
          <w:sz w:val="30"/>
          <w:szCs w:val="30"/>
        </w:rPr>
        <w:t>主管部门：</w:t>
      </w:r>
    </w:p>
    <w:p w14:paraId="60A027C0">
      <w:pPr>
        <w:spacing w:line="540" w:lineRule="exact"/>
        <w:outlineLvl w:val="1"/>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云南省迪庆州公安局</w:t>
      </w:r>
    </w:p>
    <w:p w14:paraId="100CD312">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三、实施机关：</w:t>
      </w:r>
    </w:p>
    <w:p w14:paraId="2C37145F">
      <w:pPr>
        <w:pStyle w:val="2"/>
      </w:pPr>
      <w:r>
        <w:rPr>
          <w:rFonts w:hint="eastAsia" w:ascii="方正仿宋_GBK" w:hAnsi="方正仿宋_GBK" w:eastAsia="方正仿宋_GBK" w:cs="方正仿宋_GBK"/>
          <w:sz w:val="30"/>
          <w:szCs w:val="30"/>
          <w:lang w:val="en-US" w:eastAsia="zh-CN"/>
        </w:rPr>
        <w:t>香格里拉市公安局</w:t>
      </w:r>
      <w:bookmarkStart w:id="0" w:name="_GoBack"/>
      <w:bookmarkEnd w:id="0"/>
    </w:p>
    <w:p w14:paraId="08779A99">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四、设定和实施依据：</w:t>
      </w:r>
    </w:p>
    <w:p w14:paraId="2C6BE70A">
      <w:pPr>
        <w:spacing w:line="540" w:lineRule="exact"/>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《危险化学品安全管理条例》</w:t>
      </w:r>
    </w:p>
    <w:p w14:paraId="4CB162DE">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五、子项：</w:t>
      </w:r>
    </w:p>
    <w:p w14:paraId="28FDF6E3">
      <w:pPr>
        <w:spacing w:line="540" w:lineRule="exact"/>
        <w:ind w:firstLine="600" w:firstLineChars="200"/>
        <w:rPr>
          <w:rFonts w:ascii="Times New Roman" w:hAnsi="Times New Roman" w:eastAsia="仿宋GB2312"/>
          <w:sz w:val="30"/>
          <w:szCs w:val="30"/>
        </w:rPr>
      </w:pPr>
      <w:r>
        <w:rPr>
          <w:rFonts w:hint="eastAsia" w:ascii="宋体" w:hAnsi="宋体" w:eastAsia="方正仿宋_GBK" w:cs="Nimbus Roman No9 L"/>
          <w:color w:val="000000"/>
          <w:sz w:val="30"/>
          <w:szCs w:val="30"/>
        </w:rPr>
        <w:t>运输危险化学品的车辆进入危险化学品运输车辆限制通行区域审批</w:t>
      </w:r>
    </w:p>
    <w:p w14:paraId="0F48BE15">
      <w:pPr>
        <w:spacing w:line="540" w:lineRule="exact"/>
        <w:ind w:firstLine="600" w:firstLineChars="200"/>
        <w:rPr>
          <w:rFonts w:ascii="Times New Roman" w:hAnsi="Times New Roman" w:eastAsia="仿宋GB2312"/>
          <w:sz w:val="30"/>
          <w:szCs w:val="30"/>
        </w:rPr>
      </w:pPr>
    </w:p>
    <w:p w14:paraId="0A45A415">
      <w:pPr>
        <w:pStyle w:val="2"/>
        <w:rPr>
          <w:sz w:val="30"/>
          <w:szCs w:val="30"/>
        </w:rPr>
      </w:pPr>
    </w:p>
    <w:p w14:paraId="0D105D4C">
      <w:pPr>
        <w:pStyle w:val="3"/>
        <w:rPr>
          <w:sz w:val="30"/>
          <w:szCs w:val="30"/>
        </w:rPr>
      </w:pPr>
    </w:p>
    <w:p w14:paraId="49D9B08A">
      <w:pPr>
        <w:rPr>
          <w:sz w:val="30"/>
          <w:szCs w:val="30"/>
        </w:rPr>
      </w:pPr>
    </w:p>
    <w:p w14:paraId="1F0D1B1E">
      <w:pPr>
        <w:pStyle w:val="3"/>
        <w:ind w:left="0"/>
      </w:pPr>
    </w:p>
    <w:p w14:paraId="0E583F1A"/>
    <w:p w14:paraId="765049F9">
      <w:pPr>
        <w:spacing w:line="540" w:lineRule="exact"/>
        <w:jc w:val="center"/>
        <w:outlineLvl w:val="1"/>
        <w:rPr>
          <w:rFonts w:ascii="方正小标宋_GBK" w:hAnsi="方正小标宋_GBK" w:eastAsia="方正小标宋_GBK" w:cs="方正小标宋_GBK"/>
          <w:sz w:val="30"/>
          <w:szCs w:val="30"/>
        </w:rPr>
      </w:pPr>
      <w:r>
        <w:rPr>
          <w:rFonts w:hint="eastAsia" w:ascii="方正小标宋_GBK" w:hAnsi="方正小标宋_GBK" w:eastAsia="方正小标宋_GBK" w:cs="方正小标宋_GBK"/>
          <w:sz w:val="30"/>
          <w:szCs w:val="30"/>
        </w:rPr>
        <w:t>子项、办理项实施规范</w:t>
      </w:r>
    </w:p>
    <w:p w14:paraId="6CAACF97">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一、基本要素</w:t>
      </w:r>
    </w:p>
    <w:p w14:paraId="253549B6">
      <w:pPr>
        <w:spacing w:line="540" w:lineRule="exact"/>
        <w:ind w:firstLine="602" w:firstLineChars="200"/>
        <w:outlineLvl w:val="2"/>
        <w:rPr>
          <w:rFonts w:ascii="Times New Roman" w:hAnsi="Times New Roman" w:eastAsia="仿宋GB2312"/>
          <w:b/>
          <w:bCs/>
          <w:sz w:val="30"/>
          <w:szCs w:val="30"/>
        </w:rPr>
      </w:pPr>
      <w:r>
        <w:rPr>
          <w:rFonts w:hint="eastAsia" w:ascii="Times New Roman" w:hAnsi="Times New Roman" w:eastAsia="仿宋GB2312"/>
          <w:b/>
          <w:bCs/>
          <w:sz w:val="30"/>
          <w:szCs w:val="30"/>
        </w:rPr>
        <w:t>1.</w:t>
      </w:r>
      <w:r>
        <w:rPr>
          <w:rFonts w:ascii="Times New Roman" w:hAnsi="Times New Roman" w:eastAsia="仿宋GB2312"/>
          <w:b/>
          <w:bCs/>
          <w:sz w:val="30"/>
          <w:szCs w:val="30"/>
        </w:rPr>
        <w:t>行政许可事项名称</w:t>
      </w:r>
      <w:r>
        <w:rPr>
          <w:rFonts w:hint="eastAsia" w:ascii="Times New Roman" w:hAnsi="Times New Roman" w:eastAsia="仿宋GB2312"/>
          <w:b/>
          <w:bCs/>
          <w:sz w:val="30"/>
          <w:szCs w:val="30"/>
        </w:rPr>
        <w:t>及编码</w:t>
      </w:r>
    </w:p>
    <w:p w14:paraId="4D3118DC">
      <w:pPr>
        <w:spacing w:line="540" w:lineRule="exact"/>
        <w:ind w:firstLine="600" w:firstLineChars="200"/>
        <w:rPr>
          <w:rFonts w:ascii="Times New Roman" w:hAnsi="Times New Roman" w:eastAsia="仿宋GB2312"/>
          <w:sz w:val="30"/>
          <w:szCs w:val="30"/>
        </w:rPr>
      </w:pPr>
      <w:r>
        <w:rPr>
          <w:rFonts w:hint="eastAsia" w:ascii="宋体" w:hAnsi="宋体" w:eastAsia="方正仿宋_GBK" w:cs="Nimbus Roman No9 L"/>
          <w:color w:val="000000"/>
          <w:sz w:val="30"/>
          <w:szCs w:val="30"/>
        </w:rPr>
        <w:t>运输危险化学品的车辆进入危险化学品运输车辆限制通行区域审批</w:t>
      </w:r>
    </w:p>
    <w:p w14:paraId="74895951">
      <w:pPr>
        <w:spacing w:line="540" w:lineRule="exact"/>
        <w:ind w:firstLine="602" w:firstLineChars="200"/>
        <w:outlineLvl w:val="2"/>
        <w:rPr>
          <w:rFonts w:ascii="Times New Roman" w:hAnsi="Times New Roman" w:eastAsia="仿宋GB2312"/>
          <w:b/>
          <w:bCs/>
          <w:sz w:val="30"/>
          <w:szCs w:val="30"/>
        </w:rPr>
      </w:pPr>
      <w:r>
        <w:rPr>
          <w:rFonts w:hint="eastAsia" w:ascii="Times New Roman" w:hAnsi="Times New Roman" w:eastAsia="仿宋GB2312"/>
          <w:b/>
          <w:bCs/>
          <w:sz w:val="30"/>
          <w:szCs w:val="30"/>
        </w:rPr>
        <w:t>2.</w:t>
      </w:r>
      <w:r>
        <w:rPr>
          <w:rFonts w:ascii="Times New Roman" w:hAnsi="Times New Roman" w:eastAsia="仿宋GB2312"/>
          <w:b/>
          <w:bCs/>
          <w:sz w:val="30"/>
          <w:szCs w:val="30"/>
        </w:rPr>
        <w:t>行政许可</w:t>
      </w:r>
      <w:r>
        <w:rPr>
          <w:rFonts w:hint="eastAsia" w:ascii="Times New Roman" w:hAnsi="Times New Roman" w:eastAsia="仿宋GB2312"/>
          <w:b/>
          <w:bCs/>
          <w:sz w:val="30"/>
          <w:szCs w:val="30"/>
        </w:rPr>
        <w:t>事项子项名称及编码</w:t>
      </w:r>
    </w:p>
    <w:p w14:paraId="152A8364">
      <w:pPr>
        <w:spacing w:line="540" w:lineRule="exact"/>
        <w:ind w:firstLine="600" w:firstLineChars="200"/>
        <w:rPr>
          <w:rFonts w:ascii="宋体" w:hAnsi="宋体" w:eastAsia="方正仿宋_GBK" w:cs="Nimbus Roman No9 L"/>
          <w:color w:val="000000"/>
          <w:sz w:val="30"/>
          <w:szCs w:val="30"/>
        </w:rPr>
      </w:pPr>
      <w:r>
        <w:rPr>
          <w:rFonts w:hint="eastAsia" w:ascii="宋体" w:hAnsi="宋体" w:eastAsia="方正仿宋_GBK" w:cs="Nimbus Roman No9 L"/>
          <w:color w:val="000000"/>
          <w:sz w:val="30"/>
          <w:szCs w:val="30"/>
        </w:rPr>
        <w:t xml:space="preserve">运输危险化学品的车辆进入危险化学品运输车辆限制通行区域通行证。 </w:t>
      </w:r>
    </w:p>
    <w:p w14:paraId="4C5241EA">
      <w:pPr>
        <w:spacing w:line="540" w:lineRule="exact"/>
        <w:ind w:firstLine="600" w:firstLineChars="200"/>
        <w:rPr>
          <w:rFonts w:ascii="Times New Roman" w:hAnsi="Times New Roman" w:eastAsia="仿宋GB2312"/>
          <w:sz w:val="30"/>
          <w:szCs w:val="30"/>
        </w:rPr>
      </w:pPr>
      <w:r>
        <w:rPr>
          <w:rFonts w:hint="eastAsia" w:ascii="宋体" w:hAnsi="宋体" w:eastAsia="方正仿宋_GBK" w:cs="Nimbus Roman No9 L"/>
          <w:color w:val="000000"/>
          <w:sz w:val="30"/>
          <w:szCs w:val="30"/>
        </w:rPr>
        <w:t>编码：无</w:t>
      </w:r>
    </w:p>
    <w:p w14:paraId="3DA3F2CF">
      <w:pPr>
        <w:spacing w:line="540" w:lineRule="exact"/>
        <w:ind w:firstLine="602" w:firstLineChars="200"/>
        <w:outlineLvl w:val="2"/>
        <w:rPr>
          <w:rFonts w:ascii="Times New Roman" w:hAnsi="Times New Roman" w:eastAsia="仿宋GB2312"/>
          <w:b/>
          <w:bCs/>
          <w:sz w:val="30"/>
          <w:szCs w:val="30"/>
        </w:rPr>
      </w:pPr>
      <w:r>
        <w:rPr>
          <w:rFonts w:hint="eastAsia" w:ascii="Times New Roman" w:hAnsi="Times New Roman" w:eastAsia="仿宋GB2312"/>
          <w:b/>
          <w:bCs/>
          <w:sz w:val="30"/>
          <w:szCs w:val="30"/>
        </w:rPr>
        <w:t>3.行政许可事项业务办理项名称及编码</w:t>
      </w:r>
    </w:p>
    <w:p w14:paraId="7F3E843E">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与国务院部门行政许可事项实施规范保持一致。</w:t>
      </w:r>
    </w:p>
    <w:p w14:paraId="13618475">
      <w:pPr>
        <w:spacing w:line="540" w:lineRule="exact"/>
        <w:ind w:firstLine="602" w:firstLineChars="200"/>
        <w:outlineLvl w:val="2"/>
        <w:rPr>
          <w:rFonts w:ascii="Times New Roman" w:hAnsi="Times New Roman" w:eastAsia="仿宋GB2312"/>
          <w:b/>
          <w:bCs/>
          <w:sz w:val="30"/>
          <w:szCs w:val="30"/>
        </w:rPr>
      </w:pPr>
      <w:r>
        <w:rPr>
          <w:rFonts w:hint="eastAsia" w:ascii="Times New Roman" w:hAnsi="Times New Roman" w:eastAsia="仿宋GB2312"/>
          <w:b/>
          <w:bCs/>
          <w:sz w:val="30"/>
          <w:szCs w:val="30"/>
        </w:rPr>
        <w:t>4.设定依据</w:t>
      </w:r>
    </w:p>
    <w:p w14:paraId="4C1A4074">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《危险化学品安全管理条例》。</w:t>
      </w:r>
    </w:p>
    <w:p w14:paraId="097B78B9">
      <w:pPr>
        <w:spacing w:line="540" w:lineRule="exact"/>
        <w:ind w:firstLine="602" w:firstLineChars="200"/>
        <w:outlineLvl w:val="2"/>
        <w:rPr>
          <w:rFonts w:ascii="Times New Roman" w:hAnsi="Times New Roman" w:eastAsia="仿宋GB2312"/>
          <w:b/>
          <w:bCs/>
          <w:sz w:val="30"/>
          <w:szCs w:val="30"/>
        </w:rPr>
      </w:pPr>
      <w:r>
        <w:rPr>
          <w:rFonts w:hint="eastAsia" w:ascii="Times New Roman" w:hAnsi="Times New Roman" w:eastAsia="仿宋GB2312"/>
          <w:b/>
          <w:bCs/>
          <w:sz w:val="30"/>
          <w:szCs w:val="30"/>
        </w:rPr>
        <w:t>5.实施依据</w:t>
      </w:r>
    </w:p>
    <w:p w14:paraId="0CC3B35D">
      <w:pPr>
        <w:spacing w:line="540" w:lineRule="exact"/>
        <w:ind w:firstLine="600" w:firstLineChars="200"/>
        <w:outlineLvl w:val="2"/>
        <w:rPr>
          <w:rFonts w:ascii="宋体" w:hAnsi="宋体" w:eastAsia="方正仿宋_GBK" w:cs="Nimbus Roman No9 L"/>
          <w:color w:val="000000"/>
          <w:sz w:val="30"/>
          <w:szCs w:val="30"/>
        </w:rPr>
      </w:pPr>
      <w:r>
        <w:rPr>
          <w:rFonts w:hint="eastAsia" w:ascii="方正仿宋_GBK" w:hAnsi="方正仿宋_GBK" w:eastAsia="方正仿宋_GBK" w:cs="方正仿宋_GBK"/>
          <w:sz w:val="30"/>
          <w:szCs w:val="30"/>
        </w:rPr>
        <w:t>《危险化学品安全管理条例》</w:t>
      </w:r>
      <w:r>
        <w:rPr>
          <w:rFonts w:hint="eastAsia" w:ascii="宋体" w:hAnsi="宋体" w:eastAsia="方正仿宋_GBK" w:cs="Nimbus Roman No9 L"/>
          <w:color w:val="000000"/>
          <w:sz w:val="30"/>
          <w:szCs w:val="30"/>
        </w:rPr>
        <w:t>。</w:t>
      </w:r>
    </w:p>
    <w:p w14:paraId="2C83DC86">
      <w:pPr>
        <w:spacing w:line="540" w:lineRule="exact"/>
        <w:ind w:firstLine="602" w:firstLineChars="200"/>
        <w:outlineLvl w:val="2"/>
        <w:rPr>
          <w:rFonts w:ascii="Times New Roman" w:hAnsi="Times New Roman" w:eastAsia="仿宋GB2312"/>
          <w:b/>
          <w:bCs/>
          <w:sz w:val="30"/>
          <w:szCs w:val="30"/>
        </w:rPr>
      </w:pPr>
      <w:r>
        <w:rPr>
          <w:rFonts w:hint="eastAsia" w:ascii="Times New Roman" w:hAnsi="Times New Roman" w:eastAsia="仿宋GB2312"/>
          <w:b/>
          <w:bCs/>
          <w:sz w:val="30"/>
          <w:szCs w:val="30"/>
        </w:rPr>
        <w:t>6.监管依据</w:t>
      </w:r>
    </w:p>
    <w:p w14:paraId="3D81003D">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《危险化学品安全管理条例》。</w:t>
      </w:r>
    </w:p>
    <w:p w14:paraId="23DFCF1E">
      <w:pPr>
        <w:numPr>
          <w:ilvl w:val="0"/>
          <w:numId w:val="2"/>
        </w:numPr>
        <w:spacing w:line="540" w:lineRule="exact"/>
        <w:ind w:firstLine="602" w:firstLineChars="200"/>
        <w:outlineLvl w:val="1"/>
        <w:rPr>
          <w:rFonts w:ascii="Times New Roman" w:hAnsi="Times New Roman" w:eastAsia="仿宋GB2312"/>
          <w:b/>
          <w:bCs/>
          <w:sz w:val="30"/>
          <w:szCs w:val="30"/>
        </w:rPr>
      </w:pPr>
      <w:r>
        <w:rPr>
          <w:rFonts w:ascii="Times New Roman" w:hAnsi="Times New Roman" w:eastAsia="仿宋GB2312"/>
          <w:b/>
          <w:bCs/>
          <w:sz w:val="30"/>
          <w:szCs w:val="30"/>
        </w:rPr>
        <w:t>实施机关</w:t>
      </w:r>
    </w:p>
    <w:p w14:paraId="74E8CDC5">
      <w:pPr>
        <w:spacing w:line="540" w:lineRule="exact"/>
        <w:ind w:firstLine="600" w:firstLineChars="200"/>
        <w:outlineLvl w:val="2"/>
        <w:rPr>
          <w:rFonts w:ascii="Times New Roman" w:hAnsi="Times New Roman" w:eastAsia="仿宋GB2312"/>
          <w:sz w:val="30"/>
          <w:szCs w:val="30"/>
        </w:rPr>
      </w:pPr>
      <w:r>
        <w:rPr>
          <w:rFonts w:hint="eastAsia" w:ascii="方正仿宋_GBK" w:hAnsi="方正仿宋_GBK" w:eastAsia="方正仿宋_GBK" w:cs="方正仿宋_GBK"/>
          <w:sz w:val="30"/>
          <w:szCs w:val="30"/>
        </w:rPr>
        <w:t>香格里拉市公安局。</w:t>
      </w:r>
    </w:p>
    <w:p w14:paraId="6E742FD9">
      <w:pPr>
        <w:numPr>
          <w:ilvl w:val="0"/>
          <w:numId w:val="2"/>
        </w:numPr>
        <w:spacing w:line="540" w:lineRule="exact"/>
        <w:ind w:firstLine="602" w:firstLineChars="200"/>
        <w:outlineLvl w:val="1"/>
        <w:rPr>
          <w:rFonts w:ascii="Times New Roman" w:hAnsi="Times New Roman" w:eastAsia="仿宋GB2312"/>
          <w:b/>
          <w:bCs/>
          <w:sz w:val="30"/>
          <w:szCs w:val="30"/>
        </w:rPr>
      </w:pPr>
      <w:r>
        <w:rPr>
          <w:rFonts w:ascii="Times New Roman" w:hAnsi="Times New Roman" w:eastAsia="仿宋GB2312"/>
          <w:b/>
          <w:bCs/>
          <w:sz w:val="30"/>
          <w:szCs w:val="30"/>
        </w:rPr>
        <w:t>审批层级</w:t>
      </w:r>
    </w:p>
    <w:p w14:paraId="57F3F72E">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县级。</w:t>
      </w:r>
    </w:p>
    <w:p w14:paraId="7175BAE3">
      <w:pPr>
        <w:numPr>
          <w:ilvl w:val="0"/>
          <w:numId w:val="2"/>
        </w:numPr>
        <w:spacing w:line="540" w:lineRule="exact"/>
        <w:ind w:firstLine="602" w:firstLineChars="200"/>
        <w:outlineLvl w:val="1"/>
        <w:rPr>
          <w:rFonts w:ascii="Times New Roman" w:hAnsi="Times New Roman" w:eastAsia="仿宋GB2312"/>
          <w:b/>
          <w:bCs/>
          <w:sz w:val="30"/>
          <w:szCs w:val="30"/>
        </w:rPr>
      </w:pPr>
      <w:r>
        <w:rPr>
          <w:rFonts w:hint="eastAsia" w:ascii="Times New Roman" w:hAnsi="Times New Roman" w:eastAsia="仿宋GB2312"/>
          <w:b/>
          <w:bCs/>
          <w:sz w:val="30"/>
          <w:szCs w:val="30"/>
        </w:rPr>
        <w:t>行使</w:t>
      </w:r>
      <w:r>
        <w:rPr>
          <w:rFonts w:ascii="Times New Roman" w:hAnsi="Times New Roman" w:eastAsia="仿宋GB2312"/>
          <w:b/>
          <w:bCs/>
          <w:sz w:val="30"/>
          <w:szCs w:val="30"/>
        </w:rPr>
        <w:t>层级</w:t>
      </w:r>
    </w:p>
    <w:p w14:paraId="0EE9DD2A">
      <w:pPr>
        <w:spacing w:line="540" w:lineRule="exact"/>
        <w:ind w:firstLine="600" w:firstLineChars="200"/>
        <w:outlineLvl w:val="1"/>
        <w:rPr>
          <w:rFonts w:ascii="Times New Roman" w:hAnsi="Times New Roman" w:eastAsia="仿宋GB2312"/>
          <w:color w:val="FF0000"/>
          <w:sz w:val="30"/>
          <w:szCs w:val="30"/>
        </w:rPr>
      </w:pPr>
      <w:r>
        <w:rPr>
          <w:rFonts w:hint="eastAsia" w:ascii="方正仿宋_GBK" w:hAnsi="方正仿宋_GBK" w:eastAsia="方正仿宋_GBK" w:cs="方正仿宋_GBK"/>
          <w:sz w:val="30"/>
          <w:szCs w:val="30"/>
        </w:rPr>
        <w:t>县级。</w:t>
      </w:r>
    </w:p>
    <w:p w14:paraId="2F857186">
      <w:pPr>
        <w:spacing w:line="600" w:lineRule="exact"/>
        <w:ind w:firstLine="602" w:firstLineChars="200"/>
        <w:rPr>
          <w:rFonts w:ascii="Times New Roman" w:hAnsi="Times New Roman" w:eastAsia="仿宋GB2312"/>
          <w:b/>
          <w:bCs/>
          <w:sz w:val="30"/>
          <w:szCs w:val="30"/>
        </w:rPr>
      </w:pPr>
      <w:r>
        <w:rPr>
          <w:rFonts w:hint="eastAsia" w:ascii="Times New Roman" w:hAnsi="Times New Roman" w:eastAsia="仿宋GB2312"/>
          <w:b/>
          <w:bCs/>
          <w:sz w:val="30"/>
          <w:szCs w:val="30"/>
        </w:rPr>
        <w:t>10.</w:t>
      </w:r>
      <w:r>
        <w:rPr>
          <w:rFonts w:ascii="Times New Roman" w:hAnsi="Times New Roman" w:eastAsia="仿宋GB2312"/>
          <w:b/>
          <w:bCs/>
          <w:sz w:val="30"/>
          <w:szCs w:val="30"/>
        </w:rPr>
        <w:t>是否由审批机关受理</w:t>
      </w:r>
    </w:p>
    <w:p w14:paraId="42125BAA">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是。</w:t>
      </w:r>
    </w:p>
    <w:p w14:paraId="4AF01A10">
      <w:pPr>
        <w:spacing w:line="600" w:lineRule="exact"/>
        <w:ind w:firstLine="602" w:firstLineChars="200"/>
        <w:rPr>
          <w:rFonts w:ascii="方正仿宋_GBK" w:hAnsi="方正仿宋_GBK" w:eastAsia="方正仿宋_GBK" w:cs="方正仿宋_GBK"/>
          <w:sz w:val="30"/>
          <w:szCs w:val="30"/>
        </w:rPr>
      </w:pPr>
      <w:r>
        <w:rPr>
          <w:rFonts w:hint="eastAsia" w:ascii="Times New Roman" w:hAnsi="Times New Roman" w:eastAsia="仿宋GB2312"/>
          <w:b/>
          <w:bCs/>
          <w:sz w:val="30"/>
          <w:szCs w:val="30"/>
        </w:rPr>
        <w:t>11.</w:t>
      </w:r>
      <w:r>
        <w:rPr>
          <w:rFonts w:ascii="Times New Roman" w:hAnsi="Times New Roman" w:eastAsia="仿宋GB2312"/>
          <w:b/>
          <w:bCs/>
          <w:sz w:val="30"/>
          <w:szCs w:val="30"/>
        </w:rPr>
        <w:t>受理层级</w:t>
      </w:r>
    </w:p>
    <w:p w14:paraId="53528659">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县级。</w:t>
      </w:r>
    </w:p>
    <w:p w14:paraId="03068361">
      <w:pPr>
        <w:spacing w:line="600" w:lineRule="exact"/>
        <w:ind w:firstLine="602" w:firstLineChars="200"/>
        <w:rPr>
          <w:rFonts w:ascii="方正仿宋_GBK" w:hAnsi="方正仿宋_GBK" w:eastAsia="方正仿宋_GBK" w:cs="方正仿宋_GBK"/>
          <w:sz w:val="30"/>
          <w:szCs w:val="30"/>
        </w:rPr>
      </w:pPr>
      <w:r>
        <w:rPr>
          <w:rFonts w:hint="eastAsia" w:ascii="Times New Roman" w:hAnsi="Times New Roman" w:eastAsia="仿宋GB2312"/>
          <w:b/>
          <w:bCs/>
          <w:sz w:val="30"/>
          <w:szCs w:val="30"/>
        </w:rPr>
        <w:t>12.</w:t>
      </w:r>
      <w:r>
        <w:rPr>
          <w:rFonts w:ascii="Times New Roman" w:hAnsi="Times New Roman" w:eastAsia="仿宋GB2312"/>
          <w:b/>
          <w:bCs/>
          <w:sz w:val="30"/>
          <w:szCs w:val="30"/>
        </w:rPr>
        <w:t>是否存在初审环节</w:t>
      </w:r>
    </w:p>
    <w:p w14:paraId="5701EFA3">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否。</w:t>
      </w:r>
    </w:p>
    <w:p w14:paraId="45AB9D83">
      <w:pPr>
        <w:spacing w:line="600" w:lineRule="exact"/>
        <w:ind w:firstLine="602" w:firstLineChars="200"/>
        <w:rPr>
          <w:rFonts w:ascii="方正仿宋_GBK" w:hAnsi="方正仿宋_GBK" w:eastAsia="方正仿宋_GBK" w:cs="方正仿宋_GBK"/>
          <w:sz w:val="30"/>
          <w:szCs w:val="30"/>
        </w:rPr>
      </w:pPr>
      <w:r>
        <w:rPr>
          <w:rFonts w:hint="eastAsia" w:ascii="Times New Roman" w:hAnsi="Times New Roman" w:eastAsia="仿宋GB2312"/>
          <w:b/>
          <w:bCs/>
          <w:sz w:val="30"/>
          <w:szCs w:val="30"/>
        </w:rPr>
        <w:t>13.</w:t>
      </w:r>
      <w:r>
        <w:rPr>
          <w:rFonts w:ascii="Times New Roman" w:hAnsi="Times New Roman" w:eastAsia="仿宋GB2312"/>
          <w:b/>
          <w:bCs/>
          <w:sz w:val="30"/>
          <w:szCs w:val="30"/>
        </w:rPr>
        <w:t>初审层级</w:t>
      </w:r>
    </w:p>
    <w:p w14:paraId="209EA732">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无。</w:t>
      </w:r>
    </w:p>
    <w:p w14:paraId="4E83D545">
      <w:pPr>
        <w:spacing w:line="600" w:lineRule="exact"/>
        <w:ind w:firstLine="602" w:firstLineChars="200"/>
        <w:rPr>
          <w:rFonts w:ascii="Times New Roman" w:hAnsi="Times New Roman" w:eastAsia="仿宋GB2312"/>
          <w:b/>
          <w:bCs/>
          <w:sz w:val="30"/>
          <w:szCs w:val="30"/>
        </w:rPr>
      </w:pPr>
      <w:r>
        <w:rPr>
          <w:rFonts w:hint="eastAsia" w:ascii="Times New Roman" w:hAnsi="Times New Roman" w:eastAsia="仿宋GB2312"/>
          <w:b/>
          <w:bCs/>
          <w:sz w:val="30"/>
          <w:szCs w:val="30"/>
        </w:rPr>
        <w:t>14.</w:t>
      </w:r>
      <w:r>
        <w:rPr>
          <w:rFonts w:ascii="Times New Roman" w:hAnsi="Times New Roman" w:eastAsia="仿宋GB2312"/>
          <w:b/>
          <w:bCs/>
          <w:sz w:val="30"/>
          <w:szCs w:val="30"/>
        </w:rPr>
        <w:t>对应政务服务事项国家级基本目录名称</w:t>
      </w:r>
    </w:p>
    <w:p w14:paraId="3B40E5E9">
      <w:pPr>
        <w:spacing w:line="540" w:lineRule="exact"/>
        <w:ind w:firstLine="600" w:firstLineChars="200"/>
        <w:rPr>
          <w:rFonts w:ascii="Times New Roman" w:hAnsi="Times New Roman" w:eastAsia="仿宋GB2312"/>
          <w:sz w:val="30"/>
          <w:szCs w:val="30"/>
        </w:rPr>
      </w:pPr>
      <w:r>
        <w:rPr>
          <w:rFonts w:hint="eastAsia" w:ascii="宋体" w:hAnsi="宋体" w:eastAsia="方正仿宋_GBK" w:cs="Nimbus Roman No9 L"/>
          <w:color w:val="000000"/>
          <w:sz w:val="30"/>
          <w:szCs w:val="30"/>
        </w:rPr>
        <w:t>运输危险化学品的车辆进入危险化学品运输车辆限制通行区域审批</w:t>
      </w:r>
      <w:r>
        <w:rPr>
          <w:rFonts w:hint="eastAsia" w:ascii="Times New Roman" w:hAnsi="Times New Roman" w:eastAsia="仿宋GB2312"/>
          <w:sz w:val="30"/>
          <w:szCs w:val="30"/>
        </w:rPr>
        <w:t>。</w:t>
      </w:r>
    </w:p>
    <w:p w14:paraId="55C8B93B">
      <w:pPr>
        <w:spacing w:line="600" w:lineRule="exact"/>
        <w:ind w:firstLine="602" w:firstLineChars="200"/>
        <w:rPr>
          <w:rFonts w:ascii="方正仿宋_GBK" w:hAnsi="方正仿宋_GBK" w:eastAsia="方正仿宋_GBK" w:cs="方正仿宋_GBK"/>
          <w:sz w:val="30"/>
          <w:szCs w:val="30"/>
        </w:rPr>
      </w:pPr>
      <w:r>
        <w:rPr>
          <w:rFonts w:hint="eastAsia" w:ascii="Times New Roman" w:hAnsi="Times New Roman" w:eastAsia="仿宋GB2312"/>
          <w:b/>
          <w:bCs/>
          <w:sz w:val="30"/>
          <w:szCs w:val="30"/>
        </w:rPr>
        <w:t>15.要素统一情况</w:t>
      </w:r>
    </w:p>
    <w:p w14:paraId="3995A702">
      <w:pPr>
        <w:spacing w:line="540" w:lineRule="exact"/>
        <w:ind w:firstLine="600" w:firstLineChars="200"/>
        <w:outlineLvl w:val="1"/>
        <w:rPr>
          <w:rFonts w:ascii="方正仿宋_GBK" w:hAnsi="方正仿宋_GBK" w:eastAsia="方正仿宋_GBK" w:cs="方正仿宋_GBK"/>
          <w:sz w:val="30"/>
          <w:szCs w:val="30"/>
        </w:rPr>
      </w:pPr>
      <w:r>
        <w:rPr>
          <w:rFonts w:hint="eastAsia" w:ascii="宋体" w:hAnsi="宋体" w:eastAsia="方正仿宋_GBK" w:cs="Nimbus Roman No9 L"/>
          <w:color w:val="000000"/>
          <w:sz w:val="30"/>
          <w:szCs w:val="30"/>
        </w:rPr>
        <w:t>部分要素全国统一。</w:t>
      </w:r>
    </w:p>
    <w:p w14:paraId="2690ED5A">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二、行政许可事项类型</w:t>
      </w:r>
    </w:p>
    <w:p w14:paraId="290875F1">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条件型。</w:t>
      </w:r>
    </w:p>
    <w:p w14:paraId="35C9F657">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三、行政许可条件</w:t>
      </w:r>
    </w:p>
    <w:p w14:paraId="61A94A45">
      <w:pPr>
        <w:spacing w:line="540" w:lineRule="exact"/>
        <w:ind w:firstLine="602" w:firstLineChars="200"/>
        <w:outlineLvl w:val="2"/>
        <w:rPr>
          <w:rFonts w:ascii="Times New Roman" w:hAnsi="Times New Roman" w:eastAsia="仿宋GB2312"/>
          <w:b/>
          <w:bCs/>
          <w:sz w:val="30"/>
          <w:szCs w:val="30"/>
        </w:rPr>
      </w:pPr>
      <w:r>
        <w:rPr>
          <w:rFonts w:hint="eastAsia" w:ascii="Times New Roman" w:hAnsi="Times New Roman" w:eastAsia="仿宋GB2312"/>
          <w:b/>
          <w:bCs/>
          <w:sz w:val="30"/>
          <w:szCs w:val="30"/>
        </w:rPr>
        <w:t>1.准予行政许可的条件</w:t>
      </w:r>
    </w:p>
    <w:p w14:paraId="20CC5E98">
      <w:pPr>
        <w:spacing w:line="540" w:lineRule="exact"/>
        <w:ind w:left="600"/>
        <w:outlineLvl w:val="2"/>
        <w:rPr>
          <w:rFonts w:ascii="Times New Roman" w:hAnsi="Times New Roman" w:eastAsia="仿宋GB2312"/>
          <w:b/>
          <w:bCs/>
          <w:sz w:val="30"/>
          <w:szCs w:val="30"/>
        </w:rPr>
      </w:pPr>
      <w:r>
        <w:rPr>
          <w:rFonts w:hint="eastAsia" w:ascii="方正仿宋_GBK" w:hAnsi="方正仿宋_GBK" w:eastAsia="方正仿宋_GBK" w:cs="方正仿宋_GBK"/>
          <w:sz w:val="30"/>
          <w:szCs w:val="30"/>
        </w:rPr>
        <w:t>《危险化学品安全管理条例》</w:t>
      </w:r>
    </w:p>
    <w:p w14:paraId="56EF45D2">
      <w:pPr>
        <w:numPr>
          <w:ilvl w:val="0"/>
          <w:numId w:val="3"/>
        </w:numPr>
        <w:spacing w:line="540" w:lineRule="exact"/>
        <w:ind w:firstLine="602" w:firstLineChars="200"/>
        <w:outlineLvl w:val="2"/>
        <w:rPr>
          <w:rFonts w:ascii="Times New Roman" w:hAnsi="Times New Roman" w:eastAsia="仿宋GB2312"/>
          <w:b/>
          <w:bCs/>
          <w:sz w:val="30"/>
          <w:szCs w:val="30"/>
        </w:rPr>
      </w:pPr>
      <w:r>
        <w:rPr>
          <w:rFonts w:ascii="Times New Roman" w:hAnsi="Times New Roman" w:eastAsia="仿宋GB2312"/>
          <w:b/>
          <w:bCs/>
          <w:sz w:val="30"/>
          <w:szCs w:val="30"/>
        </w:rPr>
        <w:t>规定行政许可条件的依据</w:t>
      </w:r>
    </w:p>
    <w:p w14:paraId="57F19622">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《危险化学品安全管理条例》。</w:t>
      </w:r>
    </w:p>
    <w:p w14:paraId="67E81FCB">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四、</w:t>
      </w:r>
      <w:r>
        <w:rPr>
          <w:rFonts w:ascii="Times New Roman" w:hAnsi="Times New Roman" w:eastAsia="黑体"/>
          <w:sz w:val="30"/>
          <w:szCs w:val="30"/>
        </w:rPr>
        <w:t>行政许可服务对象类型</w:t>
      </w:r>
      <w:r>
        <w:rPr>
          <w:rFonts w:hint="eastAsia" w:ascii="Times New Roman" w:hAnsi="Times New Roman" w:eastAsia="黑体"/>
          <w:sz w:val="30"/>
          <w:szCs w:val="30"/>
        </w:rPr>
        <w:t>与改革举措</w:t>
      </w:r>
    </w:p>
    <w:p w14:paraId="15C0116E">
      <w:pPr>
        <w:spacing w:line="600" w:lineRule="exact"/>
        <w:ind w:firstLine="602" w:firstLineChars="200"/>
        <w:rPr>
          <w:rFonts w:ascii="Times New Roman" w:hAnsi="Times New Roman" w:eastAsia="仿宋GB2312"/>
          <w:b/>
          <w:bCs/>
          <w:sz w:val="30"/>
          <w:szCs w:val="30"/>
        </w:rPr>
      </w:pPr>
      <w:r>
        <w:rPr>
          <w:rFonts w:hint="eastAsia" w:ascii="Times New Roman" w:hAnsi="Times New Roman" w:eastAsia="仿宋GB2312"/>
          <w:b/>
          <w:bCs/>
          <w:sz w:val="30"/>
          <w:szCs w:val="30"/>
        </w:rPr>
        <w:t>1.服务对象类型</w:t>
      </w:r>
    </w:p>
    <w:p w14:paraId="11269D3A">
      <w:pPr>
        <w:spacing w:line="540" w:lineRule="exact"/>
        <w:ind w:firstLine="600" w:firstLineChars="200"/>
        <w:outlineLvl w:val="1"/>
        <w:rPr>
          <w:rFonts w:ascii="Times New Roman" w:hAnsi="Times New Roman" w:eastAsia="仿宋GB2312"/>
          <w:b/>
          <w:bCs/>
          <w:sz w:val="30"/>
          <w:szCs w:val="30"/>
        </w:rPr>
      </w:pPr>
      <w:r>
        <w:rPr>
          <w:rFonts w:hint="eastAsia" w:ascii="方正仿宋_GBK" w:hAnsi="方正仿宋_GBK" w:eastAsia="方正仿宋_GBK" w:cs="方正仿宋_GBK"/>
          <w:sz w:val="30"/>
          <w:szCs w:val="30"/>
        </w:rPr>
        <w:t>“自然人”“公司法人代表”。</w:t>
      </w:r>
    </w:p>
    <w:p w14:paraId="432713B6">
      <w:pPr>
        <w:spacing w:line="600" w:lineRule="exact"/>
        <w:ind w:firstLine="602" w:firstLineChars="200"/>
        <w:rPr>
          <w:rFonts w:ascii="Times New Roman" w:hAnsi="Times New Roman" w:eastAsia="仿宋GB2312"/>
          <w:b/>
          <w:bCs/>
          <w:sz w:val="30"/>
          <w:szCs w:val="30"/>
        </w:rPr>
      </w:pPr>
      <w:r>
        <w:rPr>
          <w:rFonts w:hint="eastAsia" w:ascii="Times New Roman" w:hAnsi="Times New Roman" w:eastAsia="仿宋GB2312"/>
          <w:b/>
          <w:bCs/>
          <w:sz w:val="30"/>
          <w:szCs w:val="30"/>
        </w:rPr>
        <w:t>2.是否为涉企许可事项</w:t>
      </w:r>
    </w:p>
    <w:p w14:paraId="7B4ACB2B">
      <w:pPr>
        <w:spacing w:line="540" w:lineRule="exact"/>
        <w:ind w:firstLine="600" w:firstLineChars="200"/>
        <w:outlineLvl w:val="1"/>
        <w:rPr>
          <w:rFonts w:ascii="Times New Roman" w:hAnsi="Times New Roman" w:eastAsia="仿宋GB2312"/>
          <w:b/>
          <w:bCs/>
          <w:sz w:val="30"/>
          <w:szCs w:val="30"/>
        </w:rPr>
      </w:pPr>
      <w:r>
        <w:rPr>
          <w:rFonts w:hint="eastAsia" w:ascii="方正仿宋_GBK" w:hAnsi="方正仿宋_GBK" w:eastAsia="方正仿宋_GBK" w:cs="方正仿宋_GBK"/>
          <w:sz w:val="30"/>
          <w:szCs w:val="30"/>
        </w:rPr>
        <w:t>与国务院部门行政许可事项实施规范保持一致。</w:t>
      </w:r>
    </w:p>
    <w:p w14:paraId="3EC525B1">
      <w:pPr>
        <w:numPr>
          <w:ilvl w:val="0"/>
          <w:numId w:val="3"/>
        </w:numPr>
        <w:spacing w:line="600" w:lineRule="exact"/>
        <w:ind w:firstLine="602" w:firstLineChars="200"/>
        <w:rPr>
          <w:rFonts w:ascii="Times New Roman" w:hAnsi="Times New Roman" w:eastAsia="仿宋GB2312"/>
          <w:sz w:val="30"/>
          <w:szCs w:val="30"/>
        </w:rPr>
      </w:pPr>
      <w:r>
        <w:rPr>
          <w:rFonts w:hint="eastAsia" w:ascii="Times New Roman" w:hAnsi="Times New Roman" w:eastAsia="仿宋GB2312"/>
          <w:b/>
          <w:bCs/>
          <w:sz w:val="30"/>
          <w:szCs w:val="30"/>
        </w:rPr>
        <w:t>涉企经营许可事项名称</w:t>
      </w:r>
    </w:p>
    <w:p w14:paraId="49BA9C83">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否。</w:t>
      </w:r>
    </w:p>
    <w:p w14:paraId="12DB91F5">
      <w:pPr>
        <w:numPr>
          <w:ilvl w:val="0"/>
          <w:numId w:val="3"/>
        </w:numPr>
        <w:spacing w:line="600" w:lineRule="exact"/>
        <w:ind w:firstLine="602" w:firstLineChars="200"/>
        <w:rPr>
          <w:rFonts w:ascii="Times New Roman" w:hAnsi="Times New Roman" w:eastAsia="仿宋GB2312"/>
          <w:b/>
          <w:bCs/>
          <w:sz w:val="30"/>
          <w:szCs w:val="30"/>
        </w:rPr>
      </w:pPr>
      <w:r>
        <w:rPr>
          <w:rFonts w:hint="eastAsia" w:ascii="Times New Roman" w:hAnsi="Times New Roman" w:eastAsia="仿宋GB2312"/>
          <w:b/>
          <w:bCs/>
          <w:sz w:val="30"/>
          <w:szCs w:val="30"/>
        </w:rPr>
        <w:t>许可证件名称</w:t>
      </w:r>
    </w:p>
    <w:p w14:paraId="092297C8">
      <w:pPr>
        <w:spacing w:line="540" w:lineRule="exact"/>
        <w:ind w:firstLine="600" w:firstLineChars="200"/>
        <w:outlineLvl w:val="1"/>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无。</w:t>
      </w:r>
    </w:p>
    <w:p w14:paraId="077451D9">
      <w:pPr>
        <w:numPr>
          <w:ilvl w:val="0"/>
          <w:numId w:val="3"/>
        </w:numPr>
        <w:spacing w:line="600" w:lineRule="exact"/>
        <w:ind w:firstLine="602" w:firstLineChars="200"/>
        <w:rPr>
          <w:rFonts w:ascii="Times New Roman" w:hAnsi="Times New Roman" w:eastAsia="仿宋GB2312"/>
          <w:b/>
          <w:bCs/>
          <w:sz w:val="30"/>
          <w:szCs w:val="30"/>
        </w:rPr>
      </w:pPr>
      <w:r>
        <w:rPr>
          <w:rFonts w:hint="eastAsia" w:ascii="Times New Roman" w:hAnsi="Times New Roman" w:eastAsia="仿宋GB2312"/>
          <w:b/>
          <w:bCs/>
          <w:sz w:val="30"/>
          <w:szCs w:val="30"/>
        </w:rPr>
        <w:t>改革方式</w:t>
      </w:r>
    </w:p>
    <w:p w14:paraId="0A8B9267">
      <w:pPr>
        <w:spacing w:line="540" w:lineRule="exact"/>
        <w:ind w:firstLine="600" w:firstLineChars="200"/>
        <w:outlineLvl w:val="2"/>
        <w:rPr>
          <w:rFonts w:ascii="Times New Roman" w:hAnsi="Times New Roman" w:eastAsia="仿宋GB2312"/>
          <w:b/>
          <w:bCs/>
          <w:sz w:val="30"/>
          <w:szCs w:val="30"/>
        </w:rPr>
      </w:pPr>
      <w:r>
        <w:rPr>
          <w:rFonts w:hint="eastAsia" w:ascii="方正仿宋_GBK" w:hAnsi="方正仿宋_GBK" w:eastAsia="方正仿宋_GBK" w:cs="方正仿宋_GBK"/>
          <w:sz w:val="30"/>
          <w:szCs w:val="30"/>
        </w:rPr>
        <w:t>无</w:t>
      </w:r>
      <w:r>
        <w:rPr>
          <w:rFonts w:hint="eastAsia" w:ascii="宋体" w:hAnsi="宋体" w:eastAsia="方正仿宋_GBK" w:cs="Nimbus Roman No9 L"/>
          <w:color w:val="000000"/>
          <w:sz w:val="30"/>
          <w:szCs w:val="30"/>
        </w:rPr>
        <w:t>。</w:t>
      </w:r>
    </w:p>
    <w:p w14:paraId="7D1C5F71">
      <w:pPr>
        <w:spacing w:line="540" w:lineRule="exact"/>
        <w:ind w:firstLine="602" w:firstLineChars="200"/>
        <w:rPr>
          <w:rFonts w:ascii="Times New Roman" w:hAnsi="Times New Roman" w:eastAsia="仿宋GB2312"/>
          <w:b/>
          <w:bCs/>
          <w:sz w:val="30"/>
          <w:szCs w:val="30"/>
        </w:rPr>
      </w:pPr>
      <w:r>
        <w:rPr>
          <w:rFonts w:hint="eastAsia" w:ascii="Times New Roman" w:hAnsi="Times New Roman" w:eastAsia="仿宋GB2312"/>
          <w:b/>
          <w:bCs/>
          <w:sz w:val="30"/>
          <w:szCs w:val="30"/>
        </w:rPr>
        <w:t>6.具体改革举措</w:t>
      </w:r>
    </w:p>
    <w:p w14:paraId="25CB32D8">
      <w:pPr>
        <w:spacing w:line="540" w:lineRule="exact"/>
        <w:ind w:firstLine="600" w:firstLineChars="200"/>
        <w:rPr>
          <w:rFonts w:ascii="宋体" w:hAnsi="宋体" w:eastAsia="方正仿宋_GBK" w:cs="Nimbus Roman No9 L"/>
          <w:color w:val="000000"/>
          <w:sz w:val="30"/>
          <w:szCs w:val="30"/>
        </w:rPr>
      </w:pPr>
      <w:r>
        <w:rPr>
          <w:rFonts w:hint="eastAsia" w:ascii="方正仿宋_GBK" w:hAnsi="方正仿宋_GBK" w:eastAsia="方正仿宋_GBK" w:cs="方正仿宋_GBK"/>
          <w:sz w:val="30"/>
          <w:szCs w:val="30"/>
        </w:rPr>
        <w:t>无</w:t>
      </w:r>
      <w:r>
        <w:rPr>
          <w:rFonts w:hint="eastAsia" w:ascii="宋体" w:hAnsi="宋体" w:eastAsia="方正仿宋_GBK" w:cs="Nimbus Roman No9 L"/>
          <w:color w:val="000000"/>
          <w:sz w:val="30"/>
          <w:szCs w:val="30"/>
        </w:rPr>
        <w:t>。</w:t>
      </w:r>
    </w:p>
    <w:p w14:paraId="4CC00C29">
      <w:pPr>
        <w:spacing w:line="540" w:lineRule="exact"/>
        <w:ind w:firstLine="602" w:firstLineChars="200"/>
        <w:rPr>
          <w:rFonts w:ascii="Times New Roman" w:hAnsi="Times New Roman" w:eastAsia="仿宋GB2312"/>
          <w:b/>
          <w:bCs/>
          <w:sz w:val="30"/>
          <w:szCs w:val="30"/>
        </w:rPr>
      </w:pPr>
      <w:r>
        <w:rPr>
          <w:rFonts w:hint="eastAsia" w:ascii="Times New Roman" w:hAnsi="Times New Roman" w:eastAsia="仿宋GB2312"/>
          <w:b/>
          <w:bCs/>
          <w:sz w:val="30"/>
          <w:szCs w:val="30"/>
        </w:rPr>
        <w:t>7.加强事中事后监管措施</w:t>
      </w:r>
    </w:p>
    <w:p w14:paraId="20C4E254">
      <w:pPr>
        <w:spacing w:line="540" w:lineRule="exact"/>
        <w:ind w:firstLine="600" w:firstLineChars="20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与国务院部门行政许可事项实施规范保持一致。</w:t>
      </w:r>
    </w:p>
    <w:p w14:paraId="30B0E28F">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五、申请材料</w:t>
      </w:r>
    </w:p>
    <w:p w14:paraId="6971F838">
      <w:pPr>
        <w:spacing w:line="600" w:lineRule="exact"/>
        <w:ind w:firstLine="640" w:firstLineChars="200"/>
        <w:rPr>
          <w:rFonts w:ascii="宋体" w:hAnsi="宋体" w:eastAsia="方正仿宋_GBK" w:cs="Nimbus Roman No9 L"/>
          <w:color w:val="000000"/>
          <w:kern w:val="0"/>
          <w:sz w:val="30"/>
          <w:szCs w:val="30"/>
        </w:rPr>
      </w:pPr>
      <w:r>
        <w:rPr>
          <w:rFonts w:hint="eastAsia" w:ascii="方正仿宋_GBK" w:hAnsi="方正仿宋_GBK" w:eastAsia="方正仿宋_GBK" w:cs="方正仿宋_GBK"/>
          <w:bCs/>
          <w:color w:val="222222"/>
          <w:sz w:val="32"/>
          <w:szCs w:val="32"/>
          <w:shd w:val="clear" w:color="auto" w:fill="FFFFFF"/>
        </w:rPr>
        <w:t>1、由单位（企业）法人代表持本部门组织机构代码证（营业执照副本）复印件、法人代表身份证复印件或车辆所有人身份证复印件、车辆行驶证复印件、所属车辆登记台账、所服务危化品运输合同等复印件、车辆入城通行申请等材料到城市交警大队备案审批</w:t>
      </w:r>
      <w:r>
        <w:rPr>
          <w:rFonts w:hint="eastAsia" w:ascii="宋体" w:hAnsi="宋体" w:eastAsia="方正仿宋_GBK" w:cs="Nimbus Roman No9 L"/>
          <w:color w:val="000000"/>
          <w:kern w:val="0"/>
          <w:sz w:val="30"/>
          <w:szCs w:val="30"/>
        </w:rPr>
        <w:t>。</w:t>
      </w:r>
    </w:p>
    <w:p w14:paraId="1BF01A73">
      <w:pPr>
        <w:spacing w:line="600" w:lineRule="exact"/>
        <w:ind w:firstLine="640" w:firstLineChars="200"/>
        <w:rPr>
          <w:rFonts w:ascii="宋体" w:hAnsi="宋体" w:eastAsia="方正仿宋_GBK" w:cs="Nimbus Roman No9 L"/>
          <w:color w:val="000000"/>
          <w:kern w:val="0"/>
          <w:sz w:val="30"/>
          <w:szCs w:val="30"/>
        </w:rPr>
      </w:pPr>
      <w:r>
        <w:rPr>
          <w:rFonts w:hint="eastAsia" w:ascii="方正仿宋_GBK" w:hAnsi="方正仿宋_GBK" w:eastAsia="方正仿宋_GBK" w:cs="方正仿宋_GBK"/>
          <w:bCs/>
          <w:color w:val="222222"/>
          <w:sz w:val="32"/>
          <w:szCs w:val="32"/>
          <w:shd w:val="clear" w:color="auto" w:fill="FFFFFF"/>
        </w:rPr>
        <w:t>2、个人持车辆所有人身份证复印件、车辆行驶证复印件、所属车辆登记台账、所服务危化品运输合同等复印件、车辆入城通行申请等材料到城市交警大队备案审批</w:t>
      </w:r>
      <w:r>
        <w:rPr>
          <w:rFonts w:hint="eastAsia" w:ascii="宋体" w:hAnsi="宋体" w:eastAsia="方正仿宋_GBK" w:cs="Nimbus Roman No9 L"/>
          <w:color w:val="000000"/>
          <w:kern w:val="0"/>
          <w:sz w:val="30"/>
          <w:szCs w:val="30"/>
        </w:rPr>
        <w:t>。</w:t>
      </w:r>
    </w:p>
    <w:p w14:paraId="1AFC0017">
      <w:pPr>
        <w:spacing w:line="600" w:lineRule="exact"/>
        <w:rPr>
          <w:rFonts w:ascii="Times New Roman" w:hAnsi="Times New Roman" w:eastAsia="黑体"/>
          <w:sz w:val="30"/>
          <w:szCs w:val="30"/>
        </w:rPr>
      </w:pPr>
      <w:r>
        <w:rPr>
          <w:rFonts w:hint="eastAsia" w:ascii="Times New Roman" w:hAnsi="Times New Roman" w:eastAsia="黑体"/>
          <w:sz w:val="30"/>
          <w:szCs w:val="30"/>
        </w:rPr>
        <w:t>六、中介服务</w:t>
      </w:r>
    </w:p>
    <w:p w14:paraId="40720809">
      <w:pPr>
        <w:spacing w:line="540" w:lineRule="exact"/>
        <w:ind w:firstLine="600" w:firstLineChars="20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无。</w:t>
      </w:r>
    </w:p>
    <w:p w14:paraId="4D18419F">
      <w:pPr>
        <w:numPr>
          <w:ilvl w:val="0"/>
          <w:numId w:val="4"/>
        </w:num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审批程序</w:t>
      </w:r>
    </w:p>
    <w:p w14:paraId="315EBB42">
      <w:pPr>
        <w:spacing w:line="540" w:lineRule="exact"/>
        <w:ind w:firstLine="320" w:firstLineChars="100"/>
        <w:outlineLvl w:val="1"/>
        <w:rPr>
          <w:rFonts w:ascii="Times New Roman" w:hAnsi="Times New Roman" w:eastAsia="黑体"/>
          <w:sz w:val="30"/>
          <w:szCs w:val="30"/>
        </w:rPr>
      </w:pPr>
      <w:r>
        <w:rPr>
          <w:rFonts w:hint="eastAsia" w:ascii="方正仿宋_GBK" w:hAnsi="方正仿宋_GBK" w:eastAsia="方正仿宋_GBK" w:cs="方正仿宋_GBK"/>
          <w:bCs/>
          <w:color w:val="222222"/>
          <w:sz w:val="32"/>
          <w:szCs w:val="32"/>
          <w:shd w:val="clear" w:color="auto" w:fill="FFFFFF"/>
        </w:rPr>
        <w:t>采取“一事一请一议”的方式，按照指定路线、时间通行。</w:t>
      </w:r>
      <w:r>
        <w:rPr>
          <w:rFonts w:hint="eastAsia" w:ascii="Times New Roman" w:hAnsi="Times New Roman" w:eastAsia="黑体"/>
          <w:sz w:val="30"/>
          <w:szCs w:val="30"/>
        </w:rPr>
        <w:t>八、受理和审批时限</w:t>
      </w:r>
    </w:p>
    <w:p w14:paraId="1AA5D5A0">
      <w:pPr>
        <w:shd w:val="clear" w:color="auto" w:fill="FFFFFF"/>
        <w:wordWrap w:val="0"/>
        <w:ind w:firstLine="640" w:firstLineChars="200"/>
        <w:rPr>
          <w:rFonts w:ascii="方正仿宋_GBK" w:hAnsi="方正仿宋_GBK" w:eastAsia="方正仿宋_GBK" w:cs="方正仿宋_GBK"/>
          <w:bCs/>
          <w:color w:val="222222"/>
          <w:sz w:val="32"/>
          <w:szCs w:val="32"/>
        </w:rPr>
      </w:pPr>
      <w:r>
        <w:rPr>
          <w:rFonts w:hint="eastAsia" w:ascii="方正仿宋_GBK" w:hAnsi="方正仿宋_GBK" w:eastAsia="方正仿宋_GBK" w:cs="方正仿宋_GBK"/>
          <w:bCs/>
          <w:color w:val="222222"/>
          <w:sz w:val="32"/>
          <w:szCs w:val="32"/>
          <w:shd w:val="clear" w:color="auto" w:fill="FFFFFF"/>
        </w:rPr>
        <w:t>采取“一事一请一议”的方式即办，审核通过后，按照批复事宜通行。</w:t>
      </w:r>
    </w:p>
    <w:p w14:paraId="07535BD0">
      <w:pPr>
        <w:spacing w:line="600" w:lineRule="exact"/>
        <w:ind w:firstLine="600" w:firstLineChars="200"/>
        <w:rPr>
          <w:rFonts w:ascii="宋体" w:hAnsi="宋体" w:eastAsia="方正仿宋_GBK" w:cs="Nimbus Roman No9 L"/>
          <w:kern w:val="0"/>
          <w:sz w:val="30"/>
          <w:szCs w:val="30"/>
        </w:rPr>
      </w:pPr>
    </w:p>
    <w:p w14:paraId="5E2FD25F">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九、收费</w:t>
      </w:r>
    </w:p>
    <w:p w14:paraId="43717FF0">
      <w:pPr>
        <w:spacing w:line="540" w:lineRule="exact"/>
        <w:ind w:firstLine="600" w:firstLineChars="20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无。</w:t>
      </w:r>
    </w:p>
    <w:p w14:paraId="39C3623B">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十、行政许可证件</w:t>
      </w:r>
    </w:p>
    <w:p w14:paraId="169D4424">
      <w:pPr>
        <w:spacing w:line="540" w:lineRule="exact"/>
        <w:ind w:firstLine="600" w:firstLineChars="20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无。</w:t>
      </w:r>
    </w:p>
    <w:p w14:paraId="529AB225">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十一、行政许可数量限制</w:t>
      </w:r>
    </w:p>
    <w:p w14:paraId="1E626785">
      <w:pPr>
        <w:spacing w:line="540" w:lineRule="exact"/>
        <w:ind w:firstLine="600" w:firstLineChars="20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无。</w:t>
      </w:r>
    </w:p>
    <w:p w14:paraId="4B25E807">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十二、行政许可后年检</w:t>
      </w:r>
    </w:p>
    <w:p w14:paraId="719DB21B">
      <w:pPr>
        <w:spacing w:line="540" w:lineRule="exact"/>
        <w:ind w:firstLine="600" w:firstLineChars="200"/>
        <w:rPr>
          <w:sz w:val="30"/>
          <w:szCs w:val="30"/>
        </w:rPr>
      </w:pPr>
      <w:r>
        <w:rPr>
          <w:rFonts w:hint="eastAsia" w:ascii="方正仿宋_GBK" w:hAnsi="方正仿宋_GBK" w:eastAsia="方正仿宋_GBK" w:cs="方正仿宋_GBK"/>
          <w:sz w:val="30"/>
          <w:szCs w:val="30"/>
        </w:rPr>
        <w:t>无。</w:t>
      </w:r>
    </w:p>
    <w:p w14:paraId="54F77BD2">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十三、行政许可后年报</w:t>
      </w:r>
    </w:p>
    <w:p w14:paraId="3A147D38">
      <w:pPr>
        <w:spacing w:line="540" w:lineRule="exact"/>
        <w:ind w:firstLine="600" w:firstLineChars="200"/>
        <w:rPr>
          <w:sz w:val="30"/>
          <w:szCs w:val="30"/>
        </w:rPr>
      </w:pPr>
      <w:r>
        <w:rPr>
          <w:rFonts w:hint="eastAsia" w:ascii="方正仿宋_GBK" w:hAnsi="方正仿宋_GBK" w:eastAsia="方正仿宋_GBK" w:cs="方正仿宋_GBK"/>
          <w:sz w:val="30"/>
          <w:szCs w:val="30"/>
        </w:rPr>
        <w:t>无。</w:t>
      </w:r>
    </w:p>
    <w:p w14:paraId="7F7A674E">
      <w:p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十四、监管主体</w:t>
      </w:r>
    </w:p>
    <w:p w14:paraId="4A4A81CB">
      <w:pPr>
        <w:spacing w:line="540" w:lineRule="exact"/>
        <w:ind w:firstLine="600" w:firstLineChars="200"/>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与国务院部门行政许可事项实施规范保持一致。</w:t>
      </w:r>
    </w:p>
    <w:p w14:paraId="14D70D89">
      <w:pPr>
        <w:numPr>
          <w:ilvl w:val="0"/>
          <w:numId w:val="5"/>
        </w:numPr>
        <w:spacing w:line="540" w:lineRule="exact"/>
        <w:outlineLvl w:val="1"/>
        <w:rPr>
          <w:rFonts w:ascii="Times New Roman" w:hAnsi="Times New Roman" w:eastAsia="黑体"/>
          <w:sz w:val="30"/>
          <w:szCs w:val="30"/>
        </w:rPr>
      </w:pPr>
      <w:r>
        <w:rPr>
          <w:rFonts w:hint="eastAsia" w:ascii="Times New Roman" w:hAnsi="Times New Roman" w:eastAsia="黑体"/>
          <w:sz w:val="30"/>
          <w:szCs w:val="30"/>
        </w:rPr>
        <w:t>备注</w:t>
      </w:r>
    </w:p>
    <w:p w14:paraId="30C6999A">
      <w:pPr>
        <w:spacing w:line="540" w:lineRule="exact"/>
        <w:ind w:firstLine="600" w:firstLineChars="200"/>
        <w:rPr>
          <w:rFonts w:ascii="Times New Roman" w:hAnsi="Times New Roman" w:eastAsia="方正仿宋_GBK"/>
          <w:sz w:val="30"/>
          <w:szCs w:val="30"/>
        </w:rPr>
      </w:pPr>
      <w:r>
        <w:rPr>
          <w:rFonts w:hint="eastAsia" w:ascii="Times New Roman" w:hAnsi="Times New Roman" w:eastAsia="方正仿宋_GBK"/>
          <w:sz w:val="30"/>
          <w:szCs w:val="30"/>
        </w:rPr>
        <w:t>无</w:t>
      </w:r>
      <w:r>
        <w:rPr>
          <w:rFonts w:ascii="Times New Roman" w:hAnsi="Times New Roman" w:eastAsia="方正仿宋_GBK"/>
          <w:sz w:val="30"/>
          <w:szCs w:val="30"/>
        </w:rPr>
        <w:t>。</w:t>
      </w:r>
    </w:p>
    <w:p w14:paraId="1A4FEBB3">
      <w:pPr>
        <w:pStyle w:val="4"/>
        <w:wordWrap w:val="0"/>
        <w:adjustRightInd w:val="0"/>
        <w:snapToGrid w:val="0"/>
        <w:spacing w:line="600" w:lineRule="exact"/>
        <w:ind w:firstLine="600" w:firstLineChars="200"/>
        <w:jc w:val="center"/>
        <w:rPr>
          <w:rFonts w:ascii="宋体" w:hAnsi="宋体" w:eastAsia="方正仿宋_GBK" w:cs="Nimbus Roman No9 L"/>
          <w:color w:val="000000"/>
          <w:sz w:val="30"/>
          <w:szCs w:val="30"/>
        </w:rPr>
      </w:pPr>
    </w:p>
    <w:p w14:paraId="37EB87CA">
      <w:pPr>
        <w:pStyle w:val="4"/>
        <w:wordWrap w:val="0"/>
        <w:adjustRightInd w:val="0"/>
        <w:snapToGrid w:val="0"/>
        <w:spacing w:line="600" w:lineRule="exact"/>
        <w:ind w:firstLine="600" w:firstLineChars="200"/>
        <w:jc w:val="center"/>
        <w:rPr>
          <w:rFonts w:ascii="宋体" w:hAnsi="宋体" w:eastAsia="方正仿宋_GBK" w:cs="Nimbus Roman No9 L"/>
          <w:color w:val="000000"/>
          <w:sz w:val="30"/>
          <w:szCs w:val="30"/>
        </w:rPr>
        <w:sectPr>
          <w:footerReference r:id="rId3" w:type="default"/>
          <w:pgSz w:w="11906" w:h="16838"/>
          <w:pgMar w:top="1440" w:right="1800" w:bottom="1440" w:left="1800" w:header="851" w:footer="992" w:gutter="0"/>
          <w:cols w:space="720" w:num="1"/>
          <w:docGrid w:type="lines" w:linePitch="312" w:charSpace="0"/>
        </w:sectPr>
      </w:pPr>
    </w:p>
    <w:p w14:paraId="00F3C990">
      <w:pPr>
        <w:spacing w:line="400" w:lineRule="exact"/>
        <w:outlineLvl w:val="0"/>
        <w:rPr>
          <w:rFonts w:ascii="宋体" w:hAnsi="宋体" w:eastAsia="黑体" w:cs="黑体"/>
          <w:color w:val="000000"/>
          <w:kern w:val="0"/>
          <w:sz w:val="30"/>
          <w:szCs w:val="30"/>
        </w:rPr>
      </w:pPr>
      <w:r>
        <w:rPr>
          <w:rFonts w:hint="eastAsia" w:ascii="宋体" w:hAnsi="宋体" w:eastAsia="黑体" w:cs="黑体"/>
          <w:color w:val="000000"/>
          <w:kern w:val="0"/>
          <w:sz w:val="30"/>
          <w:szCs w:val="30"/>
        </w:rPr>
        <w:t>附件2</w:t>
      </w:r>
    </w:p>
    <w:p w14:paraId="3BB2F1FA">
      <w:pPr>
        <w:spacing w:line="400" w:lineRule="exact"/>
        <w:jc w:val="center"/>
      </w:pPr>
      <w:r>
        <w:rPr>
          <w:rFonts w:hint="eastAsia" w:ascii="宋体" w:hAnsi="宋体" w:eastAsia="方正小标宋_GBK" w:cs="方正小标宋_GBK"/>
          <w:color w:val="000000"/>
          <w:kern w:val="0"/>
          <w:sz w:val="40"/>
          <w:szCs w:val="40"/>
        </w:rPr>
        <w:t>行政许可事项实施规范目录</w:t>
      </w:r>
    </w:p>
    <w:tbl>
      <w:tblPr>
        <w:tblStyle w:val="8"/>
        <w:tblW w:w="4995" w:type="pct"/>
        <w:jc w:val="center"/>
        <w:tblLayout w:type="fixed"/>
        <w:tblCellMar>
          <w:top w:w="0" w:type="dxa"/>
          <w:left w:w="108" w:type="dxa"/>
          <w:bottom w:w="0" w:type="dxa"/>
          <w:right w:w="108" w:type="dxa"/>
        </w:tblCellMar>
      </w:tblPr>
      <w:tblGrid>
        <w:gridCol w:w="654"/>
        <w:gridCol w:w="814"/>
        <w:gridCol w:w="747"/>
        <w:gridCol w:w="966"/>
        <w:gridCol w:w="899"/>
        <w:gridCol w:w="815"/>
        <w:gridCol w:w="4032"/>
        <w:gridCol w:w="483"/>
        <w:gridCol w:w="497"/>
        <w:gridCol w:w="832"/>
        <w:gridCol w:w="655"/>
        <w:gridCol w:w="704"/>
        <w:gridCol w:w="672"/>
        <w:gridCol w:w="617"/>
        <w:gridCol w:w="567"/>
        <w:gridCol w:w="591"/>
      </w:tblGrid>
      <w:tr w14:paraId="12965956">
        <w:tblPrEx>
          <w:tblCellMar>
            <w:top w:w="0" w:type="dxa"/>
            <w:left w:w="108" w:type="dxa"/>
            <w:bottom w:w="0" w:type="dxa"/>
            <w:right w:w="108" w:type="dxa"/>
          </w:tblCellMar>
        </w:tblPrEx>
        <w:trPr>
          <w:trHeight w:val="1153"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B08D04">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序号</w:t>
            </w: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31114D">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主管部门</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B36FDD">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主项</w:t>
            </w: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FD0E19">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子项</w:t>
            </w:r>
          </w:p>
        </w:tc>
        <w:tc>
          <w:tcPr>
            <w:tcW w:w="3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B184CD">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办理项</w:t>
            </w: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E4F6D6">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实施机关</w:t>
            </w:r>
          </w:p>
        </w:tc>
        <w:tc>
          <w:tcPr>
            <w:tcW w:w="13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1D4A1F">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设定和实施依据</w:t>
            </w:r>
          </w:p>
        </w:tc>
        <w:tc>
          <w:tcPr>
            <w:tcW w:w="1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D5E812">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是否涉企</w:t>
            </w: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0EE46F">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改革方式</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0AB116">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改革举措</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D0E772">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中介服务事项名称</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1E35AD">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技术性服务事项名称</w:t>
            </w:r>
          </w:p>
        </w:tc>
        <w:tc>
          <w:tcPr>
            <w:tcW w:w="23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0727CF">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行政许可事项类型</w:t>
            </w:r>
          </w:p>
        </w:tc>
        <w:tc>
          <w:tcPr>
            <w:tcW w:w="2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BA0DA8">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审批结果类型</w:t>
            </w:r>
          </w:p>
        </w:tc>
        <w:tc>
          <w:tcPr>
            <w:tcW w:w="19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28AD7B">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法定</w:t>
            </w:r>
            <w:r>
              <w:rPr>
                <w:rFonts w:hint="eastAsia" w:ascii="Times New Roman" w:hAnsi="Times New Roman" w:eastAsia="黑体"/>
                <w:color w:val="000000"/>
                <w:kern w:val="0"/>
                <w:szCs w:val="21"/>
              </w:rPr>
              <w:t>审批</w:t>
            </w:r>
            <w:r>
              <w:rPr>
                <w:rFonts w:ascii="Times New Roman" w:hAnsi="Times New Roman" w:eastAsia="黑体"/>
                <w:color w:val="000000"/>
                <w:kern w:val="0"/>
                <w:szCs w:val="21"/>
              </w:rPr>
              <w:t>时限</w:t>
            </w:r>
          </w:p>
        </w:tc>
        <w:tc>
          <w:tcPr>
            <w:tcW w:w="1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5115DA">
            <w:pPr>
              <w:widowControl/>
              <w:spacing w:line="240" w:lineRule="exact"/>
              <w:jc w:val="center"/>
              <w:textAlignment w:val="center"/>
              <w:rPr>
                <w:rFonts w:ascii="Times New Roman" w:hAnsi="Times New Roman" w:eastAsia="黑体"/>
                <w:color w:val="000000"/>
                <w:szCs w:val="21"/>
              </w:rPr>
            </w:pPr>
            <w:r>
              <w:rPr>
                <w:rFonts w:ascii="Times New Roman" w:hAnsi="Times New Roman" w:eastAsia="黑体"/>
                <w:color w:val="000000"/>
                <w:kern w:val="0"/>
                <w:szCs w:val="21"/>
              </w:rPr>
              <w:t>承诺</w:t>
            </w:r>
            <w:r>
              <w:rPr>
                <w:rFonts w:hint="eastAsia" w:ascii="Times New Roman" w:hAnsi="Times New Roman" w:eastAsia="黑体"/>
                <w:color w:val="000000"/>
                <w:kern w:val="0"/>
                <w:szCs w:val="21"/>
              </w:rPr>
              <w:t>审批</w:t>
            </w:r>
            <w:r>
              <w:rPr>
                <w:rFonts w:ascii="Times New Roman" w:hAnsi="Times New Roman" w:eastAsia="黑体"/>
                <w:color w:val="000000"/>
                <w:kern w:val="0"/>
                <w:szCs w:val="21"/>
              </w:rPr>
              <w:t>时限</w:t>
            </w:r>
          </w:p>
        </w:tc>
      </w:tr>
      <w:tr w14:paraId="566B63CF">
        <w:tblPrEx>
          <w:tblCellMar>
            <w:top w:w="0" w:type="dxa"/>
            <w:left w:w="108" w:type="dxa"/>
            <w:bottom w:w="0" w:type="dxa"/>
            <w:right w:w="108" w:type="dxa"/>
          </w:tblCellMar>
        </w:tblPrEx>
        <w:trPr>
          <w:trHeight w:val="560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6F9B6E">
            <w:pPr>
              <w:widowControl/>
              <w:spacing w:line="320" w:lineRule="exact"/>
              <w:jc w:val="center"/>
              <w:textAlignment w:val="center"/>
              <w:rPr>
                <w:rFonts w:ascii="Times New Roman" w:hAnsi="Times New Roman"/>
                <w:spacing w:val="23"/>
                <w:szCs w:val="21"/>
              </w:rPr>
            </w:pPr>
            <w:r>
              <w:rPr>
                <w:rFonts w:ascii="Times New Roman" w:hAnsi="Times New Roman"/>
                <w:spacing w:val="23"/>
                <w:szCs w:val="21"/>
              </w:rPr>
              <w:t>134</w:t>
            </w:r>
          </w:p>
          <w:p w14:paraId="02F7BC1F">
            <w:pPr>
              <w:pStyle w:val="2"/>
              <w:rPr>
                <w:szCs w:val="21"/>
              </w:rPr>
            </w:pPr>
            <w:r>
              <w:rPr>
                <w:rFonts w:hint="eastAsia" w:ascii="Times New Roman" w:hAnsi="Times New Roman" w:eastAsia="方正仿宋_GBK"/>
                <w:color w:val="000000"/>
                <w:spacing w:val="-11"/>
                <w:kern w:val="0"/>
                <w:szCs w:val="21"/>
              </w:rPr>
              <w:t>（示例）</w:t>
            </w: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E1BC04">
            <w:pPr>
              <w:widowControl/>
              <w:spacing w:line="320" w:lineRule="exact"/>
              <w:jc w:val="left"/>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省公安厅</w:t>
            </w: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6B3808">
            <w:pPr>
              <w:widowControl/>
              <w:spacing w:line="320" w:lineRule="exact"/>
              <w:jc w:val="left"/>
              <w:textAlignment w:val="center"/>
              <w:rPr>
                <w:rFonts w:ascii="Times New Roman" w:hAnsi="Times New Roman" w:eastAsia="方正仿宋_GBK"/>
                <w:color w:val="000000"/>
                <w:sz w:val="24"/>
              </w:rPr>
            </w:pPr>
            <w:r>
              <w:rPr>
                <w:rFonts w:hint="eastAsia" w:ascii="方正仿宋_GBK" w:hAnsi="方正仿宋_GBK" w:eastAsia="方正仿宋_GBK" w:cs="方正仿宋_GBK"/>
                <w:sz w:val="24"/>
              </w:rPr>
              <w:t>运输危险化学品的车辆进入危险化学品运输车辆限制通行区域审批</w:t>
            </w: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ECED38">
            <w:pPr>
              <w:widowControl/>
              <w:spacing w:line="320" w:lineRule="exact"/>
              <w:jc w:val="center"/>
              <w:textAlignment w:val="center"/>
              <w:rPr>
                <w:rFonts w:ascii="Times New Roman" w:hAnsi="Times New Roman" w:eastAsia="方正仿宋_GBK"/>
                <w:color w:val="000000"/>
                <w:sz w:val="24"/>
              </w:rPr>
            </w:pPr>
            <w:r>
              <w:rPr>
                <w:rFonts w:hint="eastAsia" w:ascii="方正仿宋_GBK" w:hAnsi="方正仿宋_GBK" w:eastAsia="方正仿宋_GBK" w:cs="方正仿宋_GBK"/>
                <w:sz w:val="24"/>
              </w:rPr>
              <w:t>运输危险化学品的车辆进入危险化学品运输车辆限制通行区域审批</w:t>
            </w:r>
          </w:p>
        </w:tc>
        <w:tc>
          <w:tcPr>
            <w:tcW w:w="3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5DB474">
            <w:pPr>
              <w:widowControl/>
              <w:spacing w:line="320" w:lineRule="exact"/>
              <w:jc w:val="center"/>
              <w:textAlignment w:val="center"/>
              <w:rPr>
                <w:rFonts w:ascii="Times New Roman" w:hAnsi="Times New Roman" w:eastAsia="方正仿宋_GBK"/>
                <w:color w:val="000000"/>
                <w:sz w:val="24"/>
              </w:rPr>
            </w:pPr>
            <w:r>
              <w:rPr>
                <w:rFonts w:hint="eastAsia" w:ascii="方正仿宋_GBK" w:hAnsi="方正仿宋_GBK" w:eastAsia="方正仿宋_GBK" w:cs="方正仿宋_GBK"/>
                <w:sz w:val="24"/>
              </w:rPr>
              <w:t>运输危险化学品的车辆进入危险化学品运输车辆限制通行区域审批</w:t>
            </w: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0D08E0">
            <w:pPr>
              <w:widowControl/>
              <w:spacing w:line="320" w:lineRule="exact"/>
              <w:jc w:val="center"/>
              <w:textAlignment w:val="center"/>
              <w:rPr>
                <w:rFonts w:ascii="Times New Roman" w:hAnsi="Times New Roman" w:eastAsia="方正仿宋_GBK"/>
                <w:color w:val="000000"/>
                <w:szCs w:val="21"/>
              </w:rPr>
            </w:pPr>
            <w:r>
              <w:rPr>
                <w:rFonts w:ascii="Times New Roman" w:hAnsi="Times New Roman" w:eastAsia="方正仿宋_GBK"/>
                <w:color w:val="000000"/>
                <w:kern w:val="0"/>
                <w:szCs w:val="21"/>
              </w:rPr>
              <w:t>县</w:t>
            </w:r>
            <w:r>
              <w:rPr>
                <w:rFonts w:hint="eastAsia" w:ascii="Times New Roman" w:hAnsi="Times New Roman" w:eastAsia="方正仿宋_GBK"/>
                <w:color w:val="000000"/>
                <w:kern w:val="0"/>
                <w:szCs w:val="21"/>
              </w:rPr>
              <w:t>级公安机关交通管理部门</w:t>
            </w:r>
          </w:p>
        </w:tc>
        <w:tc>
          <w:tcPr>
            <w:tcW w:w="13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85AAC8">
            <w:pPr>
              <w:widowControl/>
              <w:spacing w:line="320" w:lineRule="exact"/>
              <w:jc w:val="left"/>
              <w:textAlignment w:val="center"/>
              <w:rPr>
                <w:rFonts w:ascii="Times New Roman" w:hAnsi="Times New Roman" w:eastAsia="方正仿宋_GBK"/>
                <w:color w:val="000000"/>
                <w:szCs w:val="21"/>
              </w:rPr>
            </w:pPr>
            <w:r>
              <w:rPr>
                <w:rFonts w:hint="eastAsia" w:ascii="宋体" w:hAnsi="宋体" w:eastAsia="方正仿宋_GBK" w:cs="方正仿宋_GBK"/>
                <w:kern w:val="0"/>
                <w:szCs w:val="21"/>
              </w:rPr>
              <w:t>《危险化学品安全管理条例》（2002年1月26日中华人民共和国国务院令第344号公布，2011年2月16日国务院第144次常务会议修订通过）</w:t>
            </w:r>
          </w:p>
        </w:tc>
        <w:tc>
          <w:tcPr>
            <w:tcW w:w="1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D680D0">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否</w:t>
            </w: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29F82B">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无</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4F0C72">
            <w:pPr>
              <w:widowControl/>
              <w:spacing w:line="320" w:lineRule="exact"/>
              <w:jc w:val="left"/>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即办件</w:t>
            </w: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B5AA80">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无</w:t>
            </w: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DF0DA8">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无</w:t>
            </w:r>
          </w:p>
        </w:tc>
        <w:tc>
          <w:tcPr>
            <w:tcW w:w="23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EA61DE">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条件型</w:t>
            </w:r>
          </w:p>
        </w:tc>
        <w:tc>
          <w:tcPr>
            <w:tcW w:w="2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94E74D">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其他</w:t>
            </w:r>
          </w:p>
        </w:tc>
        <w:tc>
          <w:tcPr>
            <w:tcW w:w="19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94D578">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即办件</w:t>
            </w:r>
          </w:p>
        </w:tc>
        <w:tc>
          <w:tcPr>
            <w:tcW w:w="1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B3B952">
            <w:pPr>
              <w:widowControl/>
              <w:spacing w:line="320" w:lineRule="exact"/>
              <w:jc w:val="center"/>
              <w:textAlignment w:val="center"/>
              <w:rPr>
                <w:rFonts w:ascii="Times New Roman" w:hAnsi="Times New Roman" w:eastAsia="方正仿宋_GBK"/>
                <w:color w:val="000000"/>
                <w:szCs w:val="21"/>
              </w:rPr>
            </w:pPr>
            <w:r>
              <w:rPr>
                <w:rFonts w:hint="eastAsia" w:ascii="Times New Roman" w:hAnsi="Times New Roman" w:eastAsia="方正仿宋_GBK"/>
                <w:color w:val="000000"/>
                <w:kern w:val="0"/>
                <w:szCs w:val="21"/>
              </w:rPr>
              <w:t>即办件</w:t>
            </w:r>
          </w:p>
        </w:tc>
      </w:tr>
      <w:tr w14:paraId="65D6EA44">
        <w:tblPrEx>
          <w:tblCellMar>
            <w:top w:w="0" w:type="dxa"/>
            <w:left w:w="108" w:type="dxa"/>
            <w:bottom w:w="0" w:type="dxa"/>
            <w:right w:w="108" w:type="dxa"/>
          </w:tblCellMar>
        </w:tblPrEx>
        <w:trPr>
          <w:trHeight w:val="9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C125E5">
            <w:pPr>
              <w:pStyle w:val="2"/>
              <w:rPr>
                <w:rFonts w:ascii="Times New Roman" w:hAnsi="Times New Roman" w:eastAsia="方正仿宋_GBK"/>
                <w:color w:val="000000"/>
                <w:spacing w:val="-11"/>
                <w:kern w:val="0"/>
                <w:szCs w:val="21"/>
              </w:rPr>
            </w:pP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1D7E23">
            <w:pPr>
              <w:widowControl/>
              <w:spacing w:line="320" w:lineRule="exact"/>
              <w:jc w:val="left"/>
              <w:textAlignment w:val="center"/>
              <w:rPr>
                <w:rFonts w:ascii="Times New Roman" w:hAnsi="Times New Roman" w:eastAsia="方正仿宋_GBK"/>
                <w:color w:val="000000"/>
                <w:kern w:val="0"/>
                <w:szCs w:val="21"/>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951D9C">
            <w:pPr>
              <w:widowControl/>
              <w:spacing w:line="320" w:lineRule="exact"/>
              <w:jc w:val="left"/>
              <w:textAlignment w:val="center"/>
              <w:rPr>
                <w:rFonts w:ascii="宋体" w:hAnsi="宋体" w:eastAsia="方正仿宋_GBK" w:cs="方正仿宋_GBK"/>
                <w:kern w:val="0"/>
                <w:szCs w:val="21"/>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88F129">
            <w:pPr>
              <w:widowControl/>
              <w:spacing w:line="320" w:lineRule="exact"/>
              <w:jc w:val="center"/>
              <w:textAlignment w:val="center"/>
              <w:rPr>
                <w:rFonts w:ascii="宋体" w:hAnsi="宋体" w:eastAsia="方正仿宋_GBK" w:cs="方正仿宋_GBK"/>
                <w:kern w:val="0"/>
                <w:szCs w:val="21"/>
              </w:rPr>
            </w:pPr>
          </w:p>
        </w:tc>
        <w:tc>
          <w:tcPr>
            <w:tcW w:w="3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AD1465">
            <w:pPr>
              <w:widowControl/>
              <w:spacing w:line="320" w:lineRule="exact"/>
              <w:jc w:val="center"/>
              <w:textAlignment w:val="center"/>
              <w:rPr>
                <w:rFonts w:ascii="宋体" w:hAnsi="宋体" w:eastAsia="方正仿宋_GBK" w:cs="方正仿宋_GBK"/>
                <w:kern w:val="0"/>
                <w:szCs w:val="21"/>
              </w:rPr>
            </w:pP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03B122">
            <w:pPr>
              <w:widowControl/>
              <w:spacing w:line="320" w:lineRule="exact"/>
              <w:jc w:val="center"/>
              <w:textAlignment w:val="center"/>
              <w:rPr>
                <w:rFonts w:ascii="Times New Roman" w:hAnsi="Times New Roman" w:eastAsia="方正仿宋_GBK"/>
                <w:color w:val="000000"/>
                <w:kern w:val="0"/>
                <w:szCs w:val="21"/>
              </w:rPr>
            </w:pPr>
          </w:p>
        </w:tc>
        <w:tc>
          <w:tcPr>
            <w:tcW w:w="13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7C84A6">
            <w:pPr>
              <w:widowControl/>
              <w:spacing w:line="320" w:lineRule="exact"/>
              <w:jc w:val="left"/>
              <w:textAlignment w:val="center"/>
              <w:rPr>
                <w:rFonts w:ascii="宋体" w:hAnsi="宋体" w:eastAsia="方正仿宋_GBK" w:cs="方正仿宋_GBK"/>
                <w:kern w:val="0"/>
                <w:szCs w:val="21"/>
              </w:rPr>
            </w:pPr>
          </w:p>
        </w:tc>
        <w:tc>
          <w:tcPr>
            <w:tcW w:w="1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55DF81">
            <w:pPr>
              <w:widowControl/>
              <w:spacing w:line="320" w:lineRule="exact"/>
              <w:jc w:val="center"/>
              <w:textAlignment w:val="center"/>
              <w:rPr>
                <w:rFonts w:ascii="Times New Roman" w:hAnsi="Times New Roman" w:eastAsia="方正仿宋_GBK"/>
                <w:color w:val="000000"/>
                <w:kern w:val="0"/>
                <w:szCs w:val="21"/>
              </w:rPr>
            </w:pP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12C64E">
            <w:pPr>
              <w:widowControl/>
              <w:spacing w:line="320" w:lineRule="exact"/>
              <w:jc w:val="center"/>
              <w:textAlignment w:val="center"/>
              <w:rPr>
                <w:rFonts w:ascii="Times New Roman" w:hAnsi="Times New Roman" w:eastAsia="方正仿宋_GBK"/>
                <w:color w:val="000000"/>
                <w:kern w:val="0"/>
                <w:szCs w:val="21"/>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40B445">
            <w:pPr>
              <w:widowControl/>
              <w:spacing w:line="320" w:lineRule="exact"/>
              <w:jc w:val="left"/>
              <w:textAlignment w:val="center"/>
              <w:rPr>
                <w:rFonts w:ascii="Times New Roman" w:hAnsi="Times New Roman" w:eastAsia="方正仿宋_GBK"/>
                <w:color w:val="000000"/>
                <w:kern w:val="0"/>
                <w:szCs w:val="21"/>
              </w:rPr>
            </w:pP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33D82E">
            <w:pPr>
              <w:widowControl/>
              <w:spacing w:line="320" w:lineRule="exact"/>
              <w:jc w:val="center"/>
              <w:textAlignment w:val="center"/>
              <w:rPr>
                <w:rFonts w:ascii="Times New Roman" w:hAnsi="Times New Roman" w:eastAsia="方正仿宋_GBK"/>
                <w:color w:val="000000"/>
                <w:kern w:val="0"/>
                <w:szCs w:val="21"/>
              </w:rPr>
            </w:pP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8D8BD3">
            <w:pPr>
              <w:widowControl/>
              <w:spacing w:line="320" w:lineRule="exact"/>
              <w:jc w:val="center"/>
              <w:textAlignment w:val="center"/>
              <w:rPr>
                <w:rFonts w:ascii="Times New Roman" w:hAnsi="Times New Roman" w:eastAsia="方正仿宋_GBK"/>
                <w:color w:val="000000"/>
                <w:kern w:val="0"/>
                <w:szCs w:val="21"/>
              </w:rPr>
            </w:pPr>
          </w:p>
        </w:tc>
        <w:tc>
          <w:tcPr>
            <w:tcW w:w="23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2E31CD">
            <w:pPr>
              <w:widowControl/>
              <w:spacing w:line="320" w:lineRule="exact"/>
              <w:jc w:val="center"/>
              <w:textAlignment w:val="center"/>
              <w:rPr>
                <w:rFonts w:ascii="Times New Roman" w:hAnsi="Times New Roman" w:eastAsia="方正仿宋_GBK"/>
                <w:color w:val="000000"/>
                <w:kern w:val="0"/>
                <w:szCs w:val="21"/>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610596">
            <w:pPr>
              <w:widowControl/>
              <w:spacing w:line="320" w:lineRule="exact"/>
              <w:jc w:val="center"/>
              <w:textAlignment w:val="center"/>
              <w:rPr>
                <w:rFonts w:ascii="Times New Roman" w:hAnsi="Times New Roman" w:eastAsia="方正仿宋_GBK"/>
                <w:color w:val="000000"/>
                <w:kern w:val="0"/>
                <w:szCs w:val="21"/>
              </w:rPr>
            </w:pPr>
          </w:p>
        </w:tc>
        <w:tc>
          <w:tcPr>
            <w:tcW w:w="19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5AE85D">
            <w:pPr>
              <w:widowControl/>
              <w:spacing w:line="320" w:lineRule="exact"/>
              <w:jc w:val="center"/>
              <w:textAlignment w:val="center"/>
              <w:rPr>
                <w:rFonts w:ascii="Times New Roman" w:hAnsi="Times New Roman" w:eastAsia="方正仿宋_GBK"/>
                <w:color w:val="000000"/>
                <w:kern w:val="0"/>
                <w:szCs w:val="21"/>
              </w:rPr>
            </w:pPr>
          </w:p>
        </w:tc>
        <w:tc>
          <w:tcPr>
            <w:tcW w:w="1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31E9A7">
            <w:pPr>
              <w:widowControl/>
              <w:spacing w:line="320" w:lineRule="exact"/>
              <w:jc w:val="center"/>
              <w:textAlignment w:val="center"/>
              <w:rPr>
                <w:rFonts w:ascii="Times New Roman" w:hAnsi="Times New Roman" w:eastAsia="方正仿宋_GBK"/>
                <w:color w:val="000000"/>
                <w:kern w:val="0"/>
                <w:szCs w:val="21"/>
              </w:rPr>
            </w:pPr>
          </w:p>
        </w:tc>
      </w:tr>
      <w:tr w14:paraId="4163AABD">
        <w:tblPrEx>
          <w:tblCellMar>
            <w:top w:w="0" w:type="dxa"/>
            <w:left w:w="108" w:type="dxa"/>
            <w:bottom w:w="0" w:type="dxa"/>
            <w:right w:w="108" w:type="dxa"/>
          </w:tblCellMar>
        </w:tblPrEx>
        <w:trPr>
          <w:trHeight w:val="190" w:hRule="atLeast"/>
          <w:jc w:val="center"/>
        </w:trPr>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65E8F5">
            <w:pPr>
              <w:widowControl/>
              <w:spacing w:line="320" w:lineRule="exact"/>
              <w:jc w:val="center"/>
              <w:rPr>
                <w:rFonts w:ascii="Times New Roman" w:hAnsi="Times New Roman" w:eastAsia="方正仿宋_GBK"/>
                <w:color w:val="000000"/>
                <w:sz w:val="24"/>
              </w:rPr>
            </w:pP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CC0D4B">
            <w:pPr>
              <w:widowControl/>
              <w:spacing w:line="320" w:lineRule="exact"/>
              <w:jc w:val="center"/>
              <w:rPr>
                <w:rFonts w:ascii="Times New Roman" w:hAnsi="Times New Roman" w:eastAsia="方正仿宋_GBK"/>
                <w:color w:val="000000"/>
                <w:sz w:val="24"/>
              </w:rPr>
            </w:pPr>
          </w:p>
        </w:tc>
        <w:tc>
          <w:tcPr>
            <w:tcW w:w="25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B909D5">
            <w:pPr>
              <w:widowControl/>
              <w:spacing w:line="320" w:lineRule="exact"/>
              <w:jc w:val="center"/>
              <w:rPr>
                <w:rFonts w:ascii="Times New Roman" w:hAnsi="Times New Roman" w:eastAsia="方正仿宋_GBK"/>
                <w:color w:val="000000"/>
                <w:sz w:val="24"/>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9B0A7B">
            <w:pPr>
              <w:widowControl/>
              <w:spacing w:line="320" w:lineRule="exact"/>
              <w:jc w:val="center"/>
              <w:rPr>
                <w:rFonts w:ascii="Times New Roman" w:hAnsi="Times New Roman" w:eastAsia="方正仿宋_GBK"/>
                <w:color w:val="000000"/>
                <w:sz w:val="24"/>
              </w:rPr>
            </w:pPr>
          </w:p>
        </w:tc>
        <w:tc>
          <w:tcPr>
            <w:tcW w:w="3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E30A61">
            <w:pPr>
              <w:widowControl/>
              <w:spacing w:line="320" w:lineRule="exact"/>
              <w:jc w:val="center"/>
              <w:rPr>
                <w:rFonts w:ascii="Times New Roman" w:hAnsi="Times New Roman" w:eastAsia="方正仿宋_GBK"/>
                <w:color w:val="000000"/>
                <w:sz w:val="24"/>
              </w:rPr>
            </w:pPr>
          </w:p>
        </w:tc>
        <w:tc>
          <w:tcPr>
            <w:tcW w:w="28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F03EDE">
            <w:pPr>
              <w:widowControl/>
              <w:spacing w:line="320" w:lineRule="exact"/>
              <w:jc w:val="center"/>
              <w:rPr>
                <w:rFonts w:ascii="Times New Roman" w:hAnsi="Times New Roman" w:eastAsia="方正仿宋_GBK"/>
                <w:color w:val="000000"/>
                <w:sz w:val="24"/>
              </w:rPr>
            </w:pPr>
          </w:p>
        </w:tc>
        <w:tc>
          <w:tcPr>
            <w:tcW w:w="13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18E8BC">
            <w:pPr>
              <w:widowControl/>
              <w:spacing w:line="320" w:lineRule="exact"/>
              <w:jc w:val="left"/>
              <w:rPr>
                <w:rFonts w:ascii="Times New Roman" w:hAnsi="Times New Roman" w:eastAsia="方正仿宋_GBK"/>
                <w:color w:val="000000"/>
                <w:sz w:val="24"/>
              </w:rPr>
            </w:pPr>
          </w:p>
        </w:tc>
        <w:tc>
          <w:tcPr>
            <w:tcW w:w="16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7292BE">
            <w:pPr>
              <w:widowControl/>
              <w:spacing w:line="320" w:lineRule="exact"/>
              <w:jc w:val="center"/>
              <w:rPr>
                <w:rFonts w:ascii="Times New Roman" w:hAnsi="Times New Roman" w:eastAsia="方正仿宋_GBK"/>
                <w:color w:val="000000"/>
                <w:sz w:val="24"/>
              </w:rPr>
            </w:pPr>
          </w:p>
        </w:tc>
        <w:tc>
          <w:tcPr>
            <w:tcW w:w="1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7CA104">
            <w:pPr>
              <w:widowControl/>
              <w:spacing w:line="320" w:lineRule="exact"/>
              <w:jc w:val="center"/>
              <w:rPr>
                <w:rFonts w:ascii="Times New Roman" w:hAnsi="Times New Roman" w:eastAsia="方正仿宋_GBK"/>
                <w:color w:val="000000"/>
                <w:sz w:val="24"/>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B63A76">
            <w:pPr>
              <w:widowControl/>
              <w:spacing w:line="320" w:lineRule="exact"/>
              <w:jc w:val="left"/>
              <w:rPr>
                <w:rFonts w:ascii="Times New Roman" w:hAnsi="Times New Roman" w:eastAsia="方正仿宋_GBK"/>
                <w:color w:val="000000"/>
                <w:sz w:val="24"/>
              </w:rPr>
            </w:pPr>
          </w:p>
        </w:tc>
        <w:tc>
          <w:tcPr>
            <w:tcW w:w="2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7C1D07">
            <w:pPr>
              <w:widowControl/>
              <w:spacing w:line="320" w:lineRule="exact"/>
              <w:jc w:val="center"/>
              <w:rPr>
                <w:rFonts w:ascii="Times New Roman" w:hAnsi="Times New Roman" w:eastAsia="黑体"/>
                <w:color w:val="000000"/>
                <w:sz w:val="24"/>
              </w:rPr>
            </w:pPr>
          </w:p>
        </w:tc>
        <w:tc>
          <w:tcPr>
            <w:tcW w:w="24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F908AF">
            <w:pPr>
              <w:widowControl/>
              <w:spacing w:line="320" w:lineRule="exact"/>
              <w:jc w:val="center"/>
              <w:rPr>
                <w:rFonts w:ascii="Times New Roman" w:hAnsi="Times New Roman" w:eastAsia="黑体"/>
                <w:color w:val="000000"/>
                <w:sz w:val="24"/>
              </w:rPr>
            </w:pPr>
          </w:p>
        </w:tc>
        <w:tc>
          <w:tcPr>
            <w:tcW w:w="23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B40A5A">
            <w:pPr>
              <w:widowControl/>
              <w:spacing w:line="320" w:lineRule="exact"/>
              <w:jc w:val="center"/>
              <w:rPr>
                <w:rFonts w:ascii="Times New Roman" w:hAnsi="Times New Roman" w:eastAsia="方正仿宋_GBK"/>
                <w:color w:val="000000"/>
                <w:sz w:val="24"/>
              </w:rPr>
            </w:pPr>
          </w:p>
        </w:tc>
        <w:tc>
          <w:tcPr>
            <w:tcW w:w="2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4FD741">
            <w:pPr>
              <w:widowControl/>
              <w:spacing w:line="320" w:lineRule="exact"/>
              <w:rPr>
                <w:rFonts w:ascii="Times New Roman" w:hAnsi="Times New Roman" w:eastAsia="黑体"/>
                <w:color w:val="000000"/>
                <w:sz w:val="24"/>
              </w:rPr>
            </w:pPr>
          </w:p>
        </w:tc>
        <w:tc>
          <w:tcPr>
            <w:tcW w:w="19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494D25">
            <w:pPr>
              <w:widowControl/>
              <w:spacing w:line="320" w:lineRule="exact"/>
              <w:jc w:val="center"/>
              <w:rPr>
                <w:rFonts w:ascii="Times New Roman" w:hAnsi="Times New Roman" w:eastAsia="方正仿宋_GBK"/>
                <w:color w:val="000000"/>
                <w:sz w:val="24"/>
              </w:rPr>
            </w:pPr>
          </w:p>
        </w:tc>
        <w:tc>
          <w:tcPr>
            <w:tcW w:w="1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1DA6FD">
            <w:pPr>
              <w:widowControl/>
              <w:spacing w:line="320" w:lineRule="exact"/>
              <w:jc w:val="center"/>
              <w:rPr>
                <w:rFonts w:ascii="Times New Roman" w:hAnsi="Times New Roman" w:eastAsia="黑体"/>
                <w:color w:val="000000"/>
                <w:sz w:val="24"/>
              </w:rPr>
            </w:pPr>
          </w:p>
        </w:tc>
      </w:tr>
      <w:tr w14:paraId="60E4FF76">
        <w:tblPrEx>
          <w:tblCellMar>
            <w:top w:w="0" w:type="dxa"/>
            <w:left w:w="108" w:type="dxa"/>
            <w:bottom w:w="0" w:type="dxa"/>
            <w:right w:w="108" w:type="dxa"/>
          </w:tblCellMar>
        </w:tblPrEx>
        <w:trPr>
          <w:trHeight w:val="288" w:hRule="atLeast"/>
          <w:jc w:val="center"/>
        </w:trPr>
        <w:tc>
          <w:tcPr>
            <w:tcW w:w="5000" w:type="pct"/>
            <w:gridSpan w:val="16"/>
            <w:tcBorders>
              <w:top w:val="nil"/>
              <w:left w:val="nil"/>
              <w:bottom w:val="nil"/>
              <w:right w:val="nil"/>
            </w:tcBorders>
            <w:vAlign w:val="center"/>
          </w:tcPr>
          <w:p w14:paraId="73ED862F">
            <w:pPr>
              <w:widowControl/>
              <w:spacing w:line="240" w:lineRule="exact"/>
              <w:jc w:val="left"/>
              <w:textAlignment w:val="center"/>
              <w:rPr>
                <w:rFonts w:ascii="Times New Roman" w:hAnsi="Times New Roman" w:eastAsia="方正仿宋_GBK"/>
                <w:color w:val="000000"/>
                <w:kern w:val="0"/>
                <w:szCs w:val="21"/>
              </w:rPr>
            </w:pPr>
            <w:r>
              <w:rPr>
                <w:rFonts w:ascii="Times New Roman" w:hAnsi="Times New Roman" w:eastAsia="方正仿宋_GBK"/>
                <w:color w:val="000000"/>
                <w:kern w:val="0"/>
                <w:szCs w:val="21"/>
              </w:rPr>
              <w:t>填表说明：</w:t>
            </w:r>
          </w:p>
          <w:p w14:paraId="0C79E6D2">
            <w:pPr>
              <w:widowControl/>
              <w:spacing w:line="240" w:lineRule="exact"/>
              <w:jc w:val="left"/>
              <w:textAlignment w:val="center"/>
              <w:rPr>
                <w:rFonts w:ascii="Times New Roman" w:hAnsi="Times New Roman" w:eastAsia="方正仿宋_GBK"/>
                <w:color w:val="000000"/>
                <w:kern w:val="0"/>
                <w:szCs w:val="21"/>
              </w:rPr>
            </w:pPr>
            <w:r>
              <w:rPr>
                <w:rFonts w:hint="eastAsia" w:ascii="Times New Roman" w:hAnsi="Times New Roman" w:eastAsia="方正仿宋_GBK"/>
                <w:color w:val="000000"/>
                <w:kern w:val="0"/>
                <w:szCs w:val="21"/>
              </w:rPr>
              <w:t>1.</w:t>
            </w:r>
            <w:r>
              <w:rPr>
                <w:rFonts w:ascii="Times New Roman" w:hAnsi="Times New Roman" w:eastAsia="方正仿宋_GBK"/>
                <w:color w:val="000000"/>
                <w:kern w:val="0"/>
                <w:szCs w:val="21"/>
              </w:rPr>
              <w:t>序号按照《云南清单》</w:t>
            </w:r>
            <w:r>
              <w:rPr>
                <w:rFonts w:hint="eastAsia" w:ascii="Times New Roman" w:hAnsi="Times New Roman" w:eastAsia="方正仿宋_GBK"/>
                <w:color w:val="000000"/>
                <w:kern w:val="0"/>
                <w:szCs w:val="21"/>
              </w:rPr>
              <w:t>中行政许可事项对应的</w:t>
            </w:r>
            <w:r>
              <w:rPr>
                <w:rFonts w:ascii="Times New Roman" w:hAnsi="Times New Roman" w:eastAsia="方正仿宋_GBK"/>
                <w:color w:val="000000"/>
                <w:kern w:val="0"/>
                <w:szCs w:val="21"/>
              </w:rPr>
              <w:t>序号填写；</w:t>
            </w:r>
            <w:r>
              <w:rPr>
                <w:rFonts w:ascii="Times New Roman" w:hAnsi="Times New Roman" w:eastAsia="方正仿宋_GBK"/>
                <w:color w:val="000000"/>
                <w:kern w:val="0"/>
                <w:szCs w:val="21"/>
              </w:rPr>
              <w:br w:type="textWrapping"/>
            </w:r>
            <w:r>
              <w:rPr>
                <w:rFonts w:ascii="Times New Roman" w:hAnsi="Times New Roman" w:eastAsia="方正仿宋_GBK"/>
                <w:color w:val="000000"/>
                <w:kern w:val="0"/>
                <w:szCs w:val="21"/>
              </w:rPr>
              <w:t>2.主管部门、主项、子项、办理项与省直有关部门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实施规范保持一致；</w:t>
            </w:r>
            <w:r>
              <w:rPr>
                <w:rFonts w:ascii="Times New Roman" w:hAnsi="Times New Roman" w:eastAsia="方正仿宋_GBK"/>
                <w:color w:val="000000"/>
                <w:kern w:val="0"/>
                <w:szCs w:val="21"/>
              </w:rPr>
              <w:br w:type="textWrapping"/>
            </w:r>
            <w:r>
              <w:rPr>
                <w:rFonts w:ascii="Times New Roman" w:hAnsi="Times New Roman" w:eastAsia="方正仿宋_GBK"/>
                <w:color w:val="000000"/>
                <w:kern w:val="0"/>
                <w:szCs w:val="21"/>
              </w:rPr>
              <w:t>3.实施机关按照省直有关部门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w:t>
            </w:r>
            <w:r>
              <w:rPr>
                <w:rFonts w:hint="eastAsia" w:ascii="Times New Roman" w:hAnsi="Times New Roman" w:eastAsia="方正仿宋_GBK"/>
                <w:color w:val="000000"/>
                <w:kern w:val="0"/>
                <w:szCs w:val="21"/>
              </w:rPr>
              <w:t>填报；</w:t>
            </w:r>
          </w:p>
          <w:p w14:paraId="59D5EB7C">
            <w:pPr>
              <w:widowControl/>
              <w:spacing w:line="240" w:lineRule="exact"/>
              <w:jc w:val="left"/>
              <w:textAlignment w:val="center"/>
              <w:rPr>
                <w:rFonts w:ascii="Times New Roman" w:hAnsi="Times New Roman" w:eastAsia="方正仿宋_GBK"/>
                <w:color w:val="000000"/>
                <w:kern w:val="0"/>
                <w:szCs w:val="21"/>
              </w:rPr>
            </w:pPr>
            <w:r>
              <w:rPr>
                <w:rFonts w:ascii="Times New Roman" w:hAnsi="Times New Roman" w:eastAsia="方正仿宋_GBK"/>
                <w:color w:val="000000"/>
                <w:kern w:val="0"/>
                <w:szCs w:val="21"/>
              </w:rPr>
              <w:t>4.设定和实施依据参照省直有关部门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实施规范填报，</w:t>
            </w:r>
            <w:r>
              <w:rPr>
                <w:rFonts w:ascii="Times New Roman" w:hAnsi="Times New Roman" w:eastAsia="方正仿宋_GBK"/>
                <w:b/>
                <w:bCs/>
                <w:color w:val="000000"/>
                <w:kern w:val="0"/>
                <w:szCs w:val="21"/>
              </w:rPr>
              <w:t>并列明具体条款和内容，涉及实施机关、审批范围、委托下放等内容加粗；</w:t>
            </w:r>
            <w:r>
              <w:rPr>
                <w:rFonts w:ascii="Times New Roman" w:hAnsi="Times New Roman" w:eastAsia="方正仿宋_GBK"/>
                <w:color w:val="000000"/>
                <w:kern w:val="0"/>
                <w:szCs w:val="21"/>
              </w:rPr>
              <w:br w:type="textWrapping"/>
            </w:r>
            <w:r>
              <w:rPr>
                <w:rFonts w:ascii="Times New Roman" w:hAnsi="Times New Roman" w:eastAsia="方正仿宋_GBK"/>
                <w:color w:val="000000"/>
                <w:kern w:val="0"/>
                <w:szCs w:val="21"/>
              </w:rPr>
              <w:t>5.改革方式按照省直有关部门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w:t>
            </w:r>
            <w:r>
              <w:rPr>
                <w:rFonts w:ascii="Times New Roman" w:hAnsi="Times New Roman" w:eastAsia="方正仿宋_GBK"/>
                <w:b/>
                <w:bCs/>
                <w:color w:val="000000"/>
                <w:kern w:val="0"/>
                <w:szCs w:val="21"/>
              </w:rPr>
              <w:t>填报</w:t>
            </w:r>
            <w:r>
              <w:rPr>
                <w:rStyle w:val="12"/>
                <w:rFonts w:hint="default" w:ascii="Times New Roman" w:hAnsi="Times New Roman" w:eastAsia="方正仿宋_GBK" w:cs="Times New Roman"/>
                <w:sz w:val="21"/>
                <w:szCs w:val="21"/>
              </w:rPr>
              <w:t>告知承诺、减材料、减程序、减时限等；</w:t>
            </w:r>
            <w:r>
              <w:rPr>
                <w:rStyle w:val="13"/>
                <w:rFonts w:hint="default" w:ascii="Times New Roman" w:hAnsi="Times New Roman" w:eastAsia="方正仿宋_GBK" w:cs="Times New Roman"/>
                <w:sz w:val="21"/>
                <w:szCs w:val="21"/>
              </w:rPr>
              <w:br w:type="textWrapping"/>
            </w:r>
            <w:r>
              <w:rPr>
                <w:rStyle w:val="13"/>
                <w:rFonts w:hint="default" w:ascii="Times New Roman" w:hAnsi="Times New Roman" w:eastAsia="方正仿宋_GBK" w:cs="Times New Roman"/>
                <w:sz w:val="21"/>
                <w:szCs w:val="21"/>
              </w:rPr>
              <w:t>6</w:t>
            </w:r>
            <w:r>
              <w:rPr>
                <w:rFonts w:ascii="Times New Roman" w:hAnsi="Times New Roman" w:eastAsia="方正仿宋_GBK"/>
                <w:color w:val="000000"/>
                <w:kern w:val="0"/>
                <w:szCs w:val="21"/>
              </w:rPr>
              <w:t>.是否涉企、</w:t>
            </w:r>
            <w:r>
              <w:rPr>
                <w:rStyle w:val="13"/>
                <w:rFonts w:hint="default" w:ascii="Times New Roman" w:hAnsi="Times New Roman" w:eastAsia="方正仿宋_GBK" w:cs="Times New Roman"/>
                <w:sz w:val="21"/>
                <w:szCs w:val="21"/>
              </w:rPr>
              <w:t>改革举措、中介服务事项名称、技术性服务事项名称、行政许可事项类型、审批结果类型、法定审批时限等</w:t>
            </w:r>
            <w:r>
              <w:rPr>
                <w:rFonts w:ascii="Times New Roman" w:hAnsi="Times New Roman" w:eastAsia="方正仿宋_GBK"/>
                <w:color w:val="000000"/>
                <w:kern w:val="0"/>
                <w:szCs w:val="21"/>
              </w:rPr>
              <w:t>按照省直有关部门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实施规范填报；</w:t>
            </w:r>
          </w:p>
          <w:p w14:paraId="49AAB2A7">
            <w:pPr>
              <w:widowControl/>
              <w:spacing w:line="240" w:lineRule="exact"/>
              <w:jc w:val="left"/>
              <w:textAlignment w:val="center"/>
              <w:rPr>
                <w:rFonts w:ascii="Times New Roman" w:hAnsi="Times New Roman" w:eastAsia="方正仿宋_GBK"/>
                <w:color w:val="000000"/>
                <w:sz w:val="24"/>
              </w:rPr>
            </w:pPr>
            <w:r>
              <w:rPr>
                <w:rStyle w:val="13"/>
                <w:rFonts w:hint="default" w:ascii="Times New Roman" w:hAnsi="Times New Roman" w:eastAsia="方正仿宋_GBK" w:cs="Times New Roman"/>
                <w:sz w:val="21"/>
                <w:szCs w:val="21"/>
              </w:rPr>
              <w:t>7.承诺审批时限</w:t>
            </w:r>
            <w:r>
              <w:rPr>
                <w:rFonts w:ascii="Times New Roman" w:hAnsi="Times New Roman" w:eastAsia="方正仿宋_GBK"/>
                <w:color w:val="000000"/>
                <w:kern w:val="0"/>
                <w:szCs w:val="21"/>
              </w:rPr>
              <w:t>按照省直有关部门</w:t>
            </w:r>
            <w:r>
              <w:rPr>
                <w:rFonts w:hint="eastAsia" w:ascii="Times New Roman" w:hAnsi="Times New Roman" w:eastAsia="方正仿宋_GBK"/>
                <w:color w:val="000000"/>
                <w:kern w:val="0"/>
                <w:szCs w:val="21"/>
              </w:rPr>
              <w:t>、</w:t>
            </w:r>
            <w:r>
              <w:rPr>
                <w:rFonts w:ascii="Times New Roman" w:hAnsi="Times New Roman" w:eastAsia="方正仿宋_GBK"/>
                <w:color w:val="000000"/>
                <w:kern w:val="0"/>
                <w:szCs w:val="21"/>
              </w:rPr>
              <w:t>中央驻滇有关单位公布的行政许可</w:t>
            </w:r>
            <w:r>
              <w:rPr>
                <w:rFonts w:hint="eastAsia" w:ascii="Times New Roman" w:hAnsi="Times New Roman" w:eastAsia="方正仿宋_GBK"/>
                <w:color w:val="000000"/>
                <w:kern w:val="0"/>
                <w:szCs w:val="21"/>
              </w:rPr>
              <w:t>事项</w:t>
            </w:r>
            <w:r>
              <w:rPr>
                <w:rFonts w:ascii="Times New Roman" w:hAnsi="Times New Roman" w:eastAsia="方正仿宋_GBK"/>
                <w:color w:val="000000"/>
                <w:kern w:val="0"/>
                <w:szCs w:val="21"/>
              </w:rPr>
              <w:t>实施规范</w:t>
            </w:r>
            <w:r>
              <w:rPr>
                <w:rFonts w:hint="eastAsia" w:ascii="Times New Roman" w:hAnsi="Times New Roman" w:eastAsia="方正仿宋_GBK"/>
                <w:color w:val="000000"/>
                <w:kern w:val="0"/>
                <w:szCs w:val="21"/>
              </w:rPr>
              <w:t>填报</w:t>
            </w:r>
            <w:r>
              <w:rPr>
                <w:rStyle w:val="13"/>
                <w:rFonts w:hint="default" w:ascii="Times New Roman" w:hAnsi="Times New Roman" w:eastAsia="方正仿宋_GBK" w:cs="Times New Roman"/>
                <w:sz w:val="21"/>
                <w:szCs w:val="21"/>
              </w:rPr>
              <w:t>，若改革方式有减时限的，承诺审批时限要与改革举措中的时间对应。</w:t>
            </w:r>
          </w:p>
        </w:tc>
      </w:tr>
    </w:tbl>
    <w:p w14:paraId="6573F53D">
      <w:pPr>
        <w:pStyle w:val="4"/>
        <w:wordWrap w:val="0"/>
        <w:adjustRightInd w:val="0"/>
        <w:snapToGrid w:val="0"/>
        <w:spacing w:line="600" w:lineRule="exact"/>
        <w:ind w:firstLine="600" w:firstLineChars="200"/>
        <w:jc w:val="center"/>
        <w:rPr>
          <w:rFonts w:ascii="宋体" w:hAnsi="宋体" w:eastAsia="方正仿宋_GBK" w:cs="Nimbus Roman No9 L"/>
          <w:color w:val="000000"/>
          <w:sz w:val="30"/>
          <w:szCs w:val="30"/>
        </w:rPr>
        <w:sectPr>
          <w:pgSz w:w="16838" w:h="11906" w:orient="landscape"/>
          <w:pgMar w:top="1247" w:right="1247" w:bottom="1247" w:left="1247" w:header="851" w:footer="992" w:gutter="0"/>
          <w:cols w:space="720" w:num="1"/>
          <w:docGrid w:type="lines" w:linePitch="319" w:charSpace="0"/>
        </w:sectPr>
      </w:pPr>
    </w:p>
    <w:p w14:paraId="51FFC106">
      <w:pPr>
        <w:pStyle w:val="4"/>
        <w:wordWrap w:val="0"/>
        <w:adjustRightInd w:val="0"/>
        <w:snapToGrid w:val="0"/>
        <w:spacing w:line="600" w:lineRule="exact"/>
        <w:ind w:firstLine="0"/>
        <w:rPr>
          <w:rFonts w:ascii="宋体" w:hAnsi="宋体" w:eastAsia="方正仿宋_GBK" w:cs="Nimbus Roman No9 L"/>
          <w:color w:val="000000"/>
          <w:sz w:val="30"/>
          <w:szCs w:val="3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Nimbus Roman No9 L">
    <w:altName w:val="GWZT-EN"/>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19062">
    <w:pPr>
      <w:pStyle w:val="5"/>
    </w:pPr>
    <w:r>
      <w:pict>
        <v:shape id="_x0000_s2049" o:spid="_x0000_s2049" o:spt="202" type="#_x0000_t202" style="position:absolute;left:0pt;margin-top:-5.85pt;height:16.1pt;width:49.85pt;mso-position-horizontal:outside;mso-position-horizontal-relative:margin;z-index:251659264;mso-width-relative:page;mso-height-relative:page;" filled="f" stroked="f" coordsize="21600,21600">
          <v:path/>
          <v:fill on="f" focussize="0,0"/>
          <v:stroke on="f" joinstyle="miter"/>
          <v:imagedata o:title=""/>
          <o:lock v:ext="edit"/>
          <v:textbox inset="0mm,0mm,0mm,0mm">
            <w:txbxContent>
              <w:p w14:paraId="3B161198">
                <w:pPr>
                  <w:pStyle w:val="5"/>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2</w:t>
                </w:r>
                <w:r>
                  <w:rPr>
                    <w:rFonts w:ascii="Times New Roman" w:hAnsi="Times New Roman"/>
                    <w:sz w:val="28"/>
                    <w:szCs w:val="28"/>
                  </w:rPr>
                  <w:fldChar w:fldCharType="end"/>
                </w:r>
                <w:r>
                  <w:rPr>
                    <w:rFonts w:ascii="Times New Roman" w:hAnsi="Times New Roman"/>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2ABE56"/>
    <w:multiLevelType w:val="singleLevel"/>
    <w:tmpl w:val="832ABE56"/>
    <w:lvl w:ilvl="0" w:tentative="0">
      <w:start w:val="2"/>
      <w:numFmt w:val="decimal"/>
      <w:lvlText w:val="%1."/>
      <w:lvlJc w:val="left"/>
      <w:pPr>
        <w:tabs>
          <w:tab w:val="left" w:pos="312"/>
        </w:tabs>
      </w:pPr>
    </w:lvl>
  </w:abstractNum>
  <w:abstractNum w:abstractNumId="1">
    <w:nsid w:val="92E15906"/>
    <w:multiLevelType w:val="singleLevel"/>
    <w:tmpl w:val="92E15906"/>
    <w:lvl w:ilvl="0" w:tentative="0">
      <w:start w:val="1"/>
      <w:numFmt w:val="chineseCounting"/>
      <w:suff w:val="nothing"/>
      <w:lvlText w:val="%1、"/>
      <w:lvlJc w:val="left"/>
      <w:rPr>
        <w:rFonts w:hint="eastAsia"/>
      </w:rPr>
    </w:lvl>
  </w:abstractNum>
  <w:abstractNum w:abstractNumId="2">
    <w:nsid w:val="36337A55"/>
    <w:multiLevelType w:val="singleLevel"/>
    <w:tmpl w:val="36337A55"/>
    <w:lvl w:ilvl="0" w:tentative="0">
      <w:start w:val="15"/>
      <w:numFmt w:val="chineseCounting"/>
      <w:suff w:val="nothing"/>
      <w:lvlText w:val="%1、"/>
      <w:lvlJc w:val="left"/>
      <w:rPr>
        <w:rFonts w:hint="eastAsia"/>
      </w:rPr>
    </w:lvl>
  </w:abstractNum>
  <w:abstractNum w:abstractNumId="3">
    <w:nsid w:val="55AD9435"/>
    <w:multiLevelType w:val="singleLevel"/>
    <w:tmpl w:val="55AD9435"/>
    <w:lvl w:ilvl="0" w:tentative="0">
      <w:start w:val="7"/>
      <w:numFmt w:val="decimal"/>
      <w:lvlText w:val="%1."/>
      <w:lvlJc w:val="left"/>
      <w:pPr>
        <w:tabs>
          <w:tab w:val="left" w:pos="312"/>
        </w:tabs>
      </w:pPr>
    </w:lvl>
  </w:abstractNum>
  <w:abstractNum w:abstractNumId="4">
    <w:nsid w:val="72894DBF"/>
    <w:multiLevelType w:val="singleLevel"/>
    <w:tmpl w:val="72894DBF"/>
    <w:lvl w:ilvl="0" w:tentative="0">
      <w:start w:val="7"/>
      <w:numFmt w:val="chineseCounting"/>
      <w:suff w:val="nothing"/>
      <w:lvlText w:val="%1、"/>
      <w:lvlJc w:val="left"/>
      <w:rPr>
        <w:rFonts w:hint="eastAsia"/>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9"/>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5NDdiNDE1ZDZlOTQxOWE2NzIyYTk5YTE1ZTU2NWUifQ=="/>
  </w:docVars>
  <w:rsids>
    <w:rsidRoot w:val="00364BD1"/>
    <w:rsid w:val="00303AD6"/>
    <w:rsid w:val="00343760"/>
    <w:rsid w:val="00364BD1"/>
    <w:rsid w:val="00561219"/>
    <w:rsid w:val="00643BE3"/>
    <w:rsid w:val="006B4CC4"/>
    <w:rsid w:val="007A5708"/>
    <w:rsid w:val="007D4BDF"/>
    <w:rsid w:val="007E59AB"/>
    <w:rsid w:val="00807284"/>
    <w:rsid w:val="009B25BE"/>
    <w:rsid w:val="00BA49C7"/>
    <w:rsid w:val="00C005B7"/>
    <w:rsid w:val="00C14174"/>
    <w:rsid w:val="00C17B24"/>
    <w:rsid w:val="00C42DEA"/>
    <w:rsid w:val="00D22429"/>
    <w:rsid w:val="00DC5E6F"/>
    <w:rsid w:val="00DE1BE7"/>
    <w:rsid w:val="016025FC"/>
    <w:rsid w:val="01B26CE9"/>
    <w:rsid w:val="01E80934"/>
    <w:rsid w:val="02924A37"/>
    <w:rsid w:val="02BC2132"/>
    <w:rsid w:val="02E132C9"/>
    <w:rsid w:val="033D7295"/>
    <w:rsid w:val="034F2928"/>
    <w:rsid w:val="0397607D"/>
    <w:rsid w:val="043B4C5B"/>
    <w:rsid w:val="043D09D3"/>
    <w:rsid w:val="04E86B91"/>
    <w:rsid w:val="056B2489"/>
    <w:rsid w:val="06744454"/>
    <w:rsid w:val="071C0D73"/>
    <w:rsid w:val="08283748"/>
    <w:rsid w:val="0837398B"/>
    <w:rsid w:val="08872B64"/>
    <w:rsid w:val="08E7715F"/>
    <w:rsid w:val="097924AD"/>
    <w:rsid w:val="09896468"/>
    <w:rsid w:val="09BC4A90"/>
    <w:rsid w:val="0B136616"/>
    <w:rsid w:val="0CCE0D62"/>
    <w:rsid w:val="0D363E6C"/>
    <w:rsid w:val="0DBF0A6A"/>
    <w:rsid w:val="1058663A"/>
    <w:rsid w:val="10A65B52"/>
    <w:rsid w:val="11531836"/>
    <w:rsid w:val="11F03528"/>
    <w:rsid w:val="127E28E2"/>
    <w:rsid w:val="12A30156"/>
    <w:rsid w:val="13542B1C"/>
    <w:rsid w:val="137B32C6"/>
    <w:rsid w:val="13B50586"/>
    <w:rsid w:val="14535FF1"/>
    <w:rsid w:val="149B12B0"/>
    <w:rsid w:val="1504530D"/>
    <w:rsid w:val="15542020"/>
    <w:rsid w:val="158346B4"/>
    <w:rsid w:val="15F80BFE"/>
    <w:rsid w:val="174F6F43"/>
    <w:rsid w:val="181810E3"/>
    <w:rsid w:val="18585984"/>
    <w:rsid w:val="188E75F7"/>
    <w:rsid w:val="18923A14"/>
    <w:rsid w:val="18E74F9F"/>
    <w:rsid w:val="19722A75"/>
    <w:rsid w:val="1AB05F4B"/>
    <w:rsid w:val="1AE94FB9"/>
    <w:rsid w:val="1B0A3F80"/>
    <w:rsid w:val="1B2A2223"/>
    <w:rsid w:val="1B612DA1"/>
    <w:rsid w:val="1B6E39DA"/>
    <w:rsid w:val="1B7DD003"/>
    <w:rsid w:val="1B8A054A"/>
    <w:rsid w:val="1B944F25"/>
    <w:rsid w:val="1CA11A1E"/>
    <w:rsid w:val="1CF217D0"/>
    <w:rsid w:val="1DBA49EB"/>
    <w:rsid w:val="1DBB5971"/>
    <w:rsid w:val="1DC00253"/>
    <w:rsid w:val="1FAA740D"/>
    <w:rsid w:val="1FB78FAA"/>
    <w:rsid w:val="1FC6404E"/>
    <w:rsid w:val="1FD95B16"/>
    <w:rsid w:val="200555AD"/>
    <w:rsid w:val="200C3C23"/>
    <w:rsid w:val="20104055"/>
    <w:rsid w:val="20210D51"/>
    <w:rsid w:val="20AF2801"/>
    <w:rsid w:val="21052421"/>
    <w:rsid w:val="22F95FB5"/>
    <w:rsid w:val="23040BE2"/>
    <w:rsid w:val="23696C97"/>
    <w:rsid w:val="23761B63"/>
    <w:rsid w:val="23BF10E1"/>
    <w:rsid w:val="23C95987"/>
    <w:rsid w:val="23D06D16"/>
    <w:rsid w:val="24172B97"/>
    <w:rsid w:val="26292FF3"/>
    <w:rsid w:val="2680412E"/>
    <w:rsid w:val="26DB608F"/>
    <w:rsid w:val="27165388"/>
    <w:rsid w:val="2753038A"/>
    <w:rsid w:val="286D547B"/>
    <w:rsid w:val="28AA3FD9"/>
    <w:rsid w:val="290343AE"/>
    <w:rsid w:val="29A30A29"/>
    <w:rsid w:val="29B70811"/>
    <w:rsid w:val="29EB2AFB"/>
    <w:rsid w:val="29EC23D0"/>
    <w:rsid w:val="2A614B6C"/>
    <w:rsid w:val="2B1F0A6C"/>
    <w:rsid w:val="2B395AE8"/>
    <w:rsid w:val="2C0A4D8F"/>
    <w:rsid w:val="2C275941"/>
    <w:rsid w:val="2C447F7D"/>
    <w:rsid w:val="2CA465BE"/>
    <w:rsid w:val="2CA95423"/>
    <w:rsid w:val="2CEE645F"/>
    <w:rsid w:val="2F0D7070"/>
    <w:rsid w:val="2F7F05A9"/>
    <w:rsid w:val="302B62B8"/>
    <w:rsid w:val="306B04F2"/>
    <w:rsid w:val="30766E97"/>
    <w:rsid w:val="307D13CE"/>
    <w:rsid w:val="313541D2"/>
    <w:rsid w:val="318667A4"/>
    <w:rsid w:val="31E64538"/>
    <w:rsid w:val="32EB3B6C"/>
    <w:rsid w:val="3312389D"/>
    <w:rsid w:val="33B2468A"/>
    <w:rsid w:val="34751C30"/>
    <w:rsid w:val="34833930"/>
    <w:rsid w:val="352B0250"/>
    <w:rsid w:val="35F42D38"/>
    <w:rsid w:val="36EF52AD"/>
    <w:rsid w:val="36F68A78"/>
    <w:rsid w:val="38494CA3"/>
    <w:rsid w:val="38E250CA"/>
    <w:rsid w:val="394E09B1"/>
    <w:rsid w:val="39A6259B"/>
    <w:rsid w:val="3A0110B2"/>
    <w:rsid w:val="3AC070FB"/>
    <w:rsid w:val="3AFE6FD9"/>
    <w:rsid w:val="3B1A5441"/>
    <w:rsid w:val="3B895CD0"/>
    <w:rsid w:val="3B9308FD"/>
    <w:rsid w:val="3BFA4E20"/>
    <w:rsid w:val="3C0E51BF"/>
    <w:rsid w:val="3C277297"/>
    <w:rsid w:val="3CD1637F"/>
    <w:rsid w:val="3F6E52AC"/>
    <w:rsid w:val="3FB53538"/>
    <w:rsid w:val="427A6373"/>
    <w:rsid w:val="43F9776B"/>
    <w:rsid w:val="44252B13"/>
    <w:rsid w:val="455235D7"/>
    <w:rsid w:val="46A229F8"/>
    <w:rsid w:val="46B5206F"/>
    <w:rsid w:val="46C67DD9"/>
    <w:rsid w:val="474D4056"/>
    <w:rsid w:val="475363DF"/>
    <w:rsid w:val="485673C8"/>
    <w:rsid w:val="487877F8"/>
    <w:rsid w:val="48F14EB5"/>
    <w:rsid w:val="494F67AB"/>
    <w:rsid w:val="49533CA1"/>
    <w:rsid w:val="496438D9"/>
    <w:rsid w:val="4A014AD3"/>
    <w:rsid w:val="4A4C6847"/>
    <w:rsid w:val="4A9B332A"/>
    <w:rsid w:val="4AC96155"/>
    <w:rsid w:val="4B08477A"/>
    <w:rsid w:val="4CB35AA1"/>
    <w:rsid w:val="4D1C0AA0"/>
    <w:rsid w:val="4D471547"/>
    <w:rsid w:val="4D92781D"/>
    <w:rsid w:val="4E4027E2"/>
    <w:rsid w:val="4E6522A6"/>
    <w:rsid w:val="4EE45351"/>
    <w:rsid w:val="4F337FD5"/>
    <w:rsid w:val="4FDB39D0"/>
    <w:rsid w:val="50AB293F"/>
    <w:rsid w:val="50D852D8"/>
    <w:rsid w:val="50F814D6"/>
    <w:rsid w:val="51AE6039"/>
    <w:rsid w:val="52181704"/>
    <w:rsid w:val="52232583"/>
    <w:rsid w:val="52401205"/>
    <w:rsid w:val="53DF1741"/>
    <w:rsid w:val="54532EC8"/>
    <w:rsid w:val="5583158B"/>
    <w:rsid w:val="55DF2C65"/>
    <w:rsid w:val="576C09AB"/>
    <w:rsid w:val="57827D4C"/>
    <w:rsid w:val="58626DC3"/>
    <w:rsid w:val="59260BAB"/>
    <w:rsid w:val="5A9B2ED2"/>
    <w:rsid w:val="5A9C7376"/>
    <w:rsid w:val="5AEE74A6"/>
    <w:rsid w:val="5B2F01EA"/>
    <w:rsid w:val="5B687259"/>
    <w:rsid w:val="5B977B3E"/>
    <w:rsid w:val="5BBC4198"/>
    <w:rsid w:val="5BC621D1"/>
    <w:rsid w:val="5BCD355F"/>
    <w:rsid w:val="5BFF20D1"/>
    <w:rsid w:val="5C8A31FF"/>
    <w:rsid w:val="5D9702C9"/>
    <w:rsid w:val="5DBE13B2"/>
    <w:rsid w:val="5E2356B9"/>
    <w:rsid w:val="5EC64A0F"/>
    <w:rsid w:val="5EF552A7"/>
    <w:rsid w:val="5F5C0E82"/>
    <w:rsid w:val="5FAD16DE"/>
    <w:rsid w:val="5FC543FC"/>
    <w:rsid w:val="5FD55C5C"/>
    <w:rsid w:val="6026648F"/>
    <w:rsid w:val="60A46927"/>
    <w:rsid w:val="61EA0D81"/>
    <w:rsid w:val="62540537"/>
    <w:rsid w:val="62A212A2"/>
    <w:rsid w:val="62F85366"/>
    <w:rsid w:val="630C0E11"/>
    <w:rsid w:val="631D6B7A"/>
    <w:rsid w:val="632779F9"/>
    <w:rsid w:val="635D124F"/>
    <w:rsid w:val="638906B4"/>
    <w:rsid w:val="63C919E9"/>
    <w:rsid w:val="63D538F9"/>
    <w:rsid w:val="642F61F1"/>
    <w:rsid w:val="64E929AC"/>
    <w:rsid w:val="659F41BF"/>
    <w:rsid w:val="660B715E"/>
    <w:rsid w:val="66C12033"/>
    <w:rsid w:val="66C57C55"/>
    <w:rsid w:val="66E31E89"/>
    <w:rsid w:val="67A402FE"/>
    <w:rsid w:val="67CFF62F"/>
    <w:rsid w:val="67D16185"/>
    <w:rsid w:val="681F15E7"/>
    <w:rsid w:val="68DB550E"/>
    <w:rsid w:val="68F14A85"/>
    <w:rsid w:val="69C064B2"/>
    <w:rsid w:val="6A4B221F"/>
    <w:rsid w:val="6A4D243B"/>
    <w:rsid w:val="6A905B8A"/>
    <w:rsid w:val="6ABB2A2F"/>
    <w:rsid w:val="6ACB3360"/>
    <w:rsid w:val="6B160A7F"/>
    <w:rsid w:val="6BCA5E13"/>
    <w:rsid w:val="6C586E75"/>
    <w:rsid w:val="6C89702F"/>
    <w:rsid w:val="6CD96208"/>
    <w:rsid w:val="6CDF2E5D"/>
    <w:rsid w:val="6D3376BB"/>
    <w:rsid w:val="6DD76D75"/>
    <w:rsid w:val="6ECF411F"/>
    <w:rsid w:val="6F252B6C"/>
    <w:rsid w:val="6F3040D9"/>
    <w:rsid w:val="6F9C52CB"/>
    <w:rsid w:val="6FE32EFA"/>
    <w:rsid w:val="70666005"/>
    <w:rsid w:val="71106E45"/>
    <w:rsid w:val="73920EBF"/>
    <w:rsid w:val="757416A8"/>
    <w:rsid w:val="75DE663D"/>
    <w:rsid w:val="76053BCA"/>
    <w:rsid w:val="76EF6628"/>
    <w:rsid w:val="77FFCD3F"/>
    <w:rsid w:val="78574485"/>
    <w:rsid w:val="78972AD3"/>
    <w:rsid w:val="78FFCCAD"/>
    <w:rsid w:val="79DF88CE"/>
    <w:rsid w:val="7A1E77F8"/>
    <w:rsid w:val="7B8A301E"/>
    <w:rsid w:val="7BBE2454"/>
    <w:rsid w:val="7C083D5D"/>
    <w:rsid w:val="7C0C5586"/>
    <w:rsid w:val="7CBCAD48"/>
    <w:rsid w:val="7CE34539"/>
    <w:rsid w:val="7D5176F5"/>
    <w:rsid w:val="7D9A5540"/>
    <w:rsid w:val="7DC10678"/>
    <w:rsid w:val="7E4454AB"/>
    <w:rsid w:val="7E6165FD"/>
    <w:rsid w:val="7EF26CB5"/>
    <w:rsid w:val="7FF54CAF"/>
    <w:rsid w:val="BA7B23C6"/>
    <w:rsid w:val="BEDE2738"/>
    <w:rsid w:val="DBDD4319"/>
    <w:rsid w:val="DD2EABF9"/>
    <w:rsid w:val="EFCBB1F8"/>
    <w:rsid w:val="F7D706E5"/>
    <w:rsid w:val="FD7B2237"/>
    <w:rsid w:val="FDA73F66"/>
    <w:rsid w:val="FEFF6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pPr>
  </w:style>
  <w:style w:type="paragraph" w:styleId="4">
    <w:name w:val="Normal Indent"/>
    <w:basedOn w:val="1"/>
    <w:qFormat/>
    <w:uiPriority w:val="0"/>
    <w:pPr>
      <w:ind w:firstLine="630"/>
    </w:pPr>
    <w:rPr>
      <w:rFonts w:eastAsia="仿宋_GB2312"/>
      <w:kern w:val="0"/>
      <w:sz w:val="32"/>
      <w:szCs w:val="32"/>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iPriority w:val="0"/>
    <w:pPr>
      <w:spacing w:before="100" w:beforeAutospacing="1" w:after="100" w:afterAutospacing="1"/>
      <w:jc w:val="left"/>
    </w:pPr>
    <w:rPr>
      <w:kern w:val="0"/>
      <w:sz w:val="24"/>
    </w:rPr>
  </w:style>
  <w:style w:type="paragraph" w:customStyle="1" w:styleId="10">
    <w:name w:val="正文空2字"/>
    <w:qFormat/>
    <w:uiPriority w:val="0"/>
    <w:pPr>
      <w:widowControl w:val="0"/>
      <w:snapToGrid w:val="0"/>
      <w:spacing w:line="560" w:lineRule="exact"/>
      <w:ind w:firstLine="640" w:firstLineChars="200"/>
    </w:pPr>
    <w:rPr>
      <w:rFonts w:hint="eastAsia" w:ascii="仿宋_GB2312" w:hAnsi="宋体" w:eastAsia="仿宋_GB2312" w:cs="Times New Roman"/>
      <w:kern w:val="2"/>
      <w:sz w:val="32"/>
      <w:szCs w:val="32"/>
      <w:lang w:val="en-US" w:eastAsia="zh-CN" w:bidi="ar-SA"/>
    </w:rPr>
  </w:style>
  <w:style w:type="character" w:customStyle="1" w:styleId="11">
    <w:name w:val="font41"/>
    <w:basedOn w:val="9"/>
    <w:qFormat/>
    <w:uiPriority w:val="0"/>
    <w:rPr>
      <w:rFonts w:hint="eastAsia" w:ascii="方正仿宋_GBK" w:hAnsi="方正仿宋_GBK" w:eastAsia="方正仿宋_GBK" w:cs="方正仿宋_GBK"/>
      <w:color w:val="000000"/>
      <w:sz w:val="22"/>
      <w:szCs w:val="22"/>
      <w:u w:val="none"/>
    </w:rPr>
  </w:style>
  <w:style w:type="character" w:customStyle="1" w:styleId="12">
    <w:name w:val="font51"/>
    <w:basedOn w:val="9"/>
    <w:qFormat/>
    <w:uiPriority w:val="0"/>
    <w:rPr>
      <w:rFonts w:hint="eastAsia" w:ascii="宋体" w:hAnsi="宋体" w:eastAsia="宋体" w:cs="宋体"/>
      <w:b/>
      <w:bCs/>
      <w:color w:val="000000"/>
      <w:sz w:val="22"/>
      <w:szCs w:val="22"/>
      <w:u w:val="none"/>
    </w:rPr>
  </w:style>
  <w:style w:type="character" w:customStyle="1" w:styleId="13">
    <w:name w:val="font11"/>
    <w:basedOn w:val="9"/>
    <w:qFormat/>
    <w:uiPriority w:val="0"/>
    <w:rPr>
      <w:rFonts w:hint="eastAsia" w:ascii="宋体" w:hAnsi="宋体" w:eastAsia="宋体" w:cs="宋体"/>
      <w:color w:val="000000"/>
      <w:sz w:val="22"/>
      <w:szCs w:val="22"/>
      <w:u w:val="none"/>
    </w:rPr>
  </w:style>
  <w:style w:type="character" w:customStyle="1" w:styleId="14">
    <w:name w:val="font141"/>
    <w:basedOn w:val="9"/>
    <w:qFormat/>
    <w:uiPriority w:val="0"/>
    <w:rPr>
      <w:rFonts w:ascii="方正黑体_GBK" w:hAnsi="方正黑体_GBK" w:eastAsia="方正黑体_GBK" w:cs="方正黑体_GBK"/>
      <w:color w:val="000000"/>
      <w:sz w:val="22"/>
      <w:szCs w:val="22"/>
      <w:u w:val="none"/>
    </w:rPr>
  </w:style>
  <w:style w:type="paragraph" w:customStyle="1" w:styleId="15">
    <w:name w:val="Char Char Char Char Char Char Char Char"/>
    <w:basedOn w:val="1"/>
    <w:qFormat/>
    <w:uiPriority w:val="0"/>
    <w:pPr>
      <w:widowControl/>
      <w:spacing w:after="160" w:line="240" w:lineRule="exact"/>
      <w:jc w:val="left"/>
    </w:pPr>
    <w:rPr>
      <w:rFonts w:ascii="Times New Roman" w:hAnsi="Times New Roman" w:eastAsia="Times New Roman"/>
      <w:kern w:val="0"/>
      <w:sz w:val="20"/>
    </w:rPr>
  </w:style>
  <w:style w:type="character" w:customStyle="1" w:styleId="16">
    <w:name w:val="font81"/>
    <w:basedOn w:val="9"/>
    <w:qFormat/>
    <w:uiPriority w:val="0"/>
    <w:rPr>
      <w:rFonts w:hint="eastAsia" w:ascii="方正仿宋_GBK" w:hAnsi="方正仿宋_GBK" w:eastAsia="方正仿宋_GBK" w:cs="方正仿宋_GBK"/>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1740</Words>
  <Characters>1784</Characters>
  <Lines>13</Lines>
  <Paragraphs>3</Paragraphs>
  <TotalTime>28</TotalTime>
  <ScaleCrop>false</ScaleCrop>
  <LinksUpToDate>false</LinksUpToDate>
  <CharactersWithSpaces>1789</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2024-04-01T07:08:00Z</dcterms:created>
  <dc:creator>Administrator</dc:creator>
  <cp:lastModifiedBy>LVZHAO</cp:lastModifiedBy>
  <cp:lastPrinted>2023-02-09T23:22:00Z</cp:lastPrinted>
  <dcterms:modified xsi:type="dcterms:W3CDTF">2024-08-19T07:35:10Z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0AB760C030D7478DB1B1D868D8C07F09</vt:lpwstr>
  </property>
</Properties>
</file>