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小标宋_GBK" w:hAnsi="方正小标宋_GBK"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方正楷体_GBK" w:hAnsi="方正楷体_GBK"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迪庆州公安局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1"/>
        <w:rPr>
          <w:rFonts w:hint="eastAsia" w:ascii="Times New Roman" w:hAnsi="Times New Roman" w:eastAsia="方正仿宋_GBK" w:cs="Times New Roman"/>
          <w:b w:val="0"/>
          <w:bCs w:val="0"/>
          <w:strike w:val="0"/>
          <w:dstrike w:val="0"/>
          <w:color w:val="auto"/>
          <w:sz w:val="28"/>
          <w:szCs w:val="28"/>
          <w:lang w:val="en-US" w:eastAsia="zh-CN"/>
        </w:rPr>
      </w:pPr>
      <w:bookmarkStart w:id="1" w:name="_GoBack"/>
      <w:bookmarkEnd w:id="1"/>
      <w:r>
        <w:rPr>
          <w:rFonts w:hint="eastAsia" w:ascii="Times New Roman" w:hAnsi="Times New Roman" w:eastAsia="方正仿宋_GBK" w:cs="Times New Roman"/>
          <w:b w:val="0"/>
          <w:bCs w:val="0"/>
          <w:strike w:val="0"/>
          <w:dstrike w:val="0"/>
          <w:color w:val="auto"/>
          <w:sz w:val="28"/>
          <w:szCs w:val="28"/>
          <w:lang w:val="en-US" w:eastAsia="zh-CN"/>
        </w:rPr>
        <w:t>香格里拉市公安局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《中华人民共和国道路交通安全法实施条例》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《机动车驾驶证申领和使用规定》（公安部令第 162 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方正仿宋_GBK" w:hAnsi="方正仿宋_GBK" w:eastAsia="方正仿宋_GBK" w:cs="方正仿宋_GBK"/>
          <w:color w:val="auto"/>
          <w:sz w:val="28"/>
          <w:szCs w:val="28"/>
        </w:rPr>
        <w:t>《国家发展改革委 财政部关于加强和规范机动车牌证工本费等收费标准管理有关问题的通知》（发改价格〔2004〕2831 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机动车驾驶证核发、审验</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Times New Roman" w:hAnsi="Times New Roman" w:eastAsia="仿宋GB2312" w:cs="Times New Roman"/>
          <w:strike w:val="0"/>
          <w:dstrike w:val="0"/>
          <w:color w:val="auto"/>
          <w:sz w:val="28"/>
          <w:szCs w:val="28"/>
          <w:lang w:val="en-US" w:eastAsia="zh-CN"/>
        </w:rPr>
      </w:pP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w:t>
      </w:r>
    </w:p>
    <w:p>
      <w:pPr>
        <w:spacing w:line="360" w:lineRule="auto"/>
        <w:ind w:firstLine="560" w:firstLineChars="200"/>
        <w:rPr>
          <w:rFonts w:hint="default"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w:t>
      </w:r>
    </w:p>
    <w:p>
      <w:pPr>
        <w:spacing w:line="360" w:lineRule="auto"/>
        <w:ind w:firstLine="560" w:firstLineChars="200"/>
        <w:rPr>
          <w:rFonts w:hint="eastAsia" w:ascii="方正仿宋_GBK" w:hAnsi="方正仿宋_GBK" w:eastAsia="方正仿宋_GBK" w:cs="方正仿宋_GBK"/>
          <w:strike w:val="0"/>
          <w:dstrike w:val="0"/>
          <w:color w:val="auto"/>
          <w:sz w:val="28"/>
          <w:szCs w:val="28"/>
          <w:lang w:val="en-US" w:eastAsia="zh-CN"/>
        </w:rPr>
      </w:pPr>
      <w:r>
        <w:rPr>
          <w:rFonts w:hint="eastAsia" w:ascii="方正仿宋_GBK" w:hAnsi="方正仿宋_GBK" w:eastAsia="方正仿宋_GBK" w:cs="方正仿宋_GBK"/>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bookmarkStart w:id="0" w:name="OLE_LINK1"/>
      <w:r>
        <w:rPr>
          <w:rFonts w:hint="eastAsia" w:ascii="Times New Roman" w:hAnsi="Times New Roman" w:eastAsia="仿宋GB2312" w:cs="Times New Roman"/>
          <w:b/>
          <w:bCs/>
          <w:strike w:val="0"/>
          <w:dstrike w:val="0"/>
          <w:color w:val="auto"/>
          <w:sz w:val="28"/>
          <w:szCs w:val="28"/>
          <w:lang w:val="en-US" w:eastAsia="zh-CN"/>
        </w:rPr>
        <w:t>设定依据</w:t>
      </w:r>
    </w:p>
    <w:p>
      <w:pPr>
        <w:keepNext w:val="0"/>
        <w:keepLines w:val="0"/>
        <w:widowControl/>
        <w:suppressLineNumbers w:val="0"/>
        <w:ind w:firstLine="560" w:firstLineChars="200"/>
        <w:jc w:val="left"/>
        <w:rPr>
          <w:color w:val="auto"/>
        </w:rPr>
      </w:pPr>
      <w:r>
        <w:rPr>
          <w:rFonts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1</w:t>
      </w:r>
      <w:r>
        <w:rPr>
          <w:rFonts w:hint="eastAsia" w:ascii="微软雅黑" w:hAnsi="微软雅黑" w:eastAsia="微软雅黑" w:cs="微软雅黑"/>
          <w:color w:val="auto"/>
          <w:kern w:val="0"/>
          <w:sz w:val="28"/>
          <w:szCs w:val="28"/>
          <w:lang w:val="en-US" w:eastAsia="zh-CN" w:bidi="ar"/>
        </w:rPr>
        <w:t>）</w:t>
      </w:r>
      <w:r>
        <w:rPr>
          <w:rFonts w:ascii="微软雅黑" w:hAnsi="微软雅黑" w:eastAsia="微软雅黑" w:cs="微软雅黑"/>
          <w:color w:val="auto"/>
          <w:kern w:val="0"/>
          <w:sz w:val="28"/>
          <w:szCs w:val="28"/>
          <w:lang w:val="en-US" w:eastAsia="zh-CN" w:bidi="ar"/>
        </w:rPr>
        <w:t xml:space="preserve">《中华人民共和国道路交通安全法》第十九条 驾驶机动车，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应当依法取得机动车驾驶证。申请机动车驾驶证，应当符合国务院公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安部门规定的驾驶许可条件；经考试合格后，由公安机关交通管理部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门发给相应类别的机动车驾驶证。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 xml:space="preserve">持有境外机动车驾驶证的人，符合国务院公安部门规定的驾驶许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可条件，经公安机关交通管理部门考核合格的，可以发给中国的机动 </w:t>
      </w:r>
    </w:p>
    <w:p>
      <w:pPr>
        <w:keepNext w:val="0"/>
        <w:keepLines w:val="0"/>
        <w:widowControl/>
        <w:suppressLineNumbers w:val="0"/>
        <w:jc w:val="left"/>
        <w:rPr>
          <w:rFonts w:hint="eastAsia" w:ascii="微软雅黑" w:hAnsi="微软雅黑" w:eastAsia="微软雅黑" w:cs="微软雅黑"/>
          <w:color w:val="auto"/>
          <w:kern w:val="0"/>
          <w:sz w:val="28"/>
          <w:szCs w:val="28"/>
          <w:lang w:val="en-US" w:eastAsia="zh-CN" w:bidi="ar"/>
        </w:rPr>
      </w:pPr>
      <w:r>
        <w:rPr>
          <w:rFonts w:hint="eastAsia" w:ascii="微软雅黑" w:hAnsi="微软雅黑" w:eastAsia="微软雅黑" w:cs="微软雅黑"/>
          <w:color w:val="auto"/>
          <w:kern w:val="0"/>
          <w:sz w:val="28"/>
          <w:szCs w:val="28"/>
          <w:lang w:val="en-US" w:eastAsia="zh-CN" w:bidi="ar"/>
        </w:rPr>
        <w:t>车驾驶证。……</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2</w:t>
      </w:r>
      <w:r>
        <w:rPr>
          <w:rFonts w:hint="eastAsia" w:ascii="微软雅黑" w:hAnsi="微软雅黑" w:eastAsia="微软雅黑" w:cs="微软雅黑"/>
          <w:color w:val="auto"/>
          <w:kern w:val="0"/>
          <w:sz w:val="28"/>
          <w:szCs w:val="28"/>
          <w:lang w:val="en-US" w:eastAsia="zh-CN" w:bidi="ar"/>
        </w:rPr>
        <w:t>）《中华人民共和国道路交通安全法》第二十三条 公安机关交通管理部门依照法律、行政法规的规定，定期对机动车驾驶证实施审验。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widowControl/>
        <w:suppressLineNumbers w:val="0"/>
        <w:ind w:firstLine="560" w:firstLineChars="200"/>
        <w:jc w:val="left"/>
        <w:rPr>
          <w:color w:val="auto"/>
        </w:rPr>
      </w:pPr>
      <w:r>
        <w:rPr>
          <w:rFonts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1</w:t>
      </w:r>
      <w:r>
        <w:rPr>
          <w:rFonts w:hint="eastAsia" w:ascii="微软雅黑" w:hAnsi="微软雅黑" w:eastAsia="微软雅黑" w:cs="微软雅黑"/>
          <w:color w:val="auto"/>
          <w:kern w:val="0"/>
          <w:sz w:val="28"/>
          <w:szCs w:val="28"/>
          <w:lang w:val="en-US" w:eastAsia="zh-CN" w:bidi="ar"/>
        </w:rPr>
        <w:t xml:space="preserve">）《中华人民共和国道路交通安全法实施条例》第十九条 符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合国务院公安部门规定的驾驶许可条件的人，可以向公安机关交通管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理部门申请机动车驾驶证。……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w:t>
      </w:r>
      <w:r>
        <w:rPr>
          <w:rFonts w:hint="default" w:ascii="Times New Roman" w:hAnsi="Times New Roman" w:eastAsia="宋体" w:cs="Times New Roman"/>
          <w:color w:val="auto"/>
          <w:kern w:val="0"/>
          <w:sz w:val="28"/>
          <w:szCs w:val="28"/>
          <w:lang w:val="en-US" w:eastAsia="zh-CN" w:bidi="ar"/>
        </w:rPr>
        <w:t>2</w:t>
      </w:r>
      <w:r>
        <w:rPr>
          <w:rFonts w:hint="eastAsia" w:ascii="微软雅黑" w:hAnsi="微软雅黑" w:eastAsia="微软雅黑" w:cs="微软雅黑"/>
          <w:color w:val="auto"/>
          <w:kern w:val="0"/>
          <w:sz w:val="28"/>
          <w:szCs w:val="28"/>
          <w:lang w:val="en-US" w:eastAsia="zh-CN" w:bidi="ar"/>
        </w:rPr>
        <w:t xml:space="preserve">）《机动车驾驶证申领和使用规定》（公安部令第 </w:t>
      </w:r>
      <w:r>
        <w:rPr>
          <w:rFonts w:hint="default" w:ascii="Times New Roman" w:hAnsi="Times New Roman" w:eastAsia="宋体" w:cs="Times New Roman"/>
          <w:color w:val="auto"/>
          <w:kern w:val="0"/>
          <w:sz w:val="28"/>
          <w:szCs w:val="28"/>
          <w:lang w:val="en-US" w:eastAsia="zh-CN" w:bidi="ar"/>
        </w:rPr>
        <w:t xml:space="preserve">162 </w:t>
      </w:r>
      <w:r>
        <w:rPr>
          <w:rFonts w:hint="eastAsia" w:ascii="微软雅黑" w:hAnsi="微软雅黑" w:eastAsia="微软雅黑" w:cs="微软雅黑"/>
          <w:color w:val="auto"/>
          <w:kern w:val="0"/>
          <w:sz w:val="28"/>
          <w:szCs w:val="28"/>
          <w:lang w:val="en-US" w:eastAsia="zh-CN" w:bidi="ar"/>
        </w:rPr>
        <w:t xml:space="preserve">号）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第七十二条 机动车驾驶人应当按照法律、行政法规的规定，定期到 </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公安机关交通管理部门接受审验。……</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widowControl/>
        <w:suppressLineNumbers w:val="0"/>
        <w:ind w:firstLine="560" w:firstLineChars="200"/>
        <w:jc w:val="left"/>
        <w:rPr>
          <w:color w:val="auto"/>
        </w:rPr>
      </w:pPr>
      <w:r>
        <w:rPr>
          <w:rFonts w:ascii="微软雅黑" w:hAnsi="微软雅黑" w:eastAsia="微软雅黑" w:cs="微软雅黑"/>
          <w:color w:val="auto"/>
          <w:kern w:val="0"/>
          <w:sz w:val="28"/>
          <w:szCs w:val="28"/>
          <w:lang w:val="en-US" w:eastAsia="zh-CN" w:bidi="ar"/>
        </w:rPr>
        <w:t xml:space="preserve">《机动车驾驶证申领和使用规定》（公安部令第 </w:t>
      </w:r>
      <w:r>
        <w:rPr>
          <w:rFonts w:hint="default" w:ascii="Times New Roman" w:hAnsi="Times New Roman" w:eastAsia="宋体" w:cs="Times New Roman"/>
          <w:color w:val="auto"/>
          <w:kern w:val="0"/>
          <w:sz w:val="28"/>
          <w:szCs w:val="28"/>
          <w:lang w:val="en-US" w:eastAsia="zh-CN" w:bidi="ar"/>
        </w:rPr>
        <w:t xml:space="preserve">162 </w:t>
      </w:r>
      <w:r>
        <w:rPr>
          <w:rFonts w:hint="eastAsia" w:ascii="微软雅黑" w:hAnsi="微软雅黑" w:eastAsia="微软雅黑" w:cs="微软雅黑"/>
          <w:color w:val="auto"/>
          <w:kern w:val="0"/>
          <w:sz w:val="28"/>
          <w:szCs w:val="28"/>
          <w:lang w:val="en-US" w:eastAsia="zh-CN" w:bidi="ar"/>
        </w:rPr>
        <w:t xml:space="preserve">号）第五十五条 公安机关交通管理部门应当建立业务监督管理中心，通过远程监控、数据分析、日常检查、档案抽查、业务回访等方式，对机动车驾驶人考试和机动车驾驶证业务办理情况进行监督管理。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直辖市、设区的市或者相当于同级的公安机关交通管理部门应当</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通过监管系统每周对机动车驾驶人考试情况进行监控、分析，及时查</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处整改发现的问题。省级公安机关交通管理部门应当通过监管系统每</w:t>
      </w:r>
    </w:p>
    <w:p>
      <w:pPr>
        <w:keepNext w:val="0"/>
        <w:keepLines w:val="0"/>
        <w:widowControl/>
        <w:suppressLineNumbers w:val="0"/>
        <w:jc w:val="left"/>
        <w:rPr>
          <w:color w:val="auto"/>
        </w:rPr>
      </w:pPr>
      <w:r>
        <w:rPr>
          <w:rFonts w:hint="eastAsia" w:ascii="微软雅黑" w:hAnsi="微软雅黑" w:eastAsia="微软雅黑" w:cs="微软雅黑"/>
          <w:color w:val="auto"/>
          <w:kern w:val="0"/>
          <w:sz w:val="28"/>
          <w:szCs w:val="28"/>
          <w:lang w:val="en-US" w:eastAsia="zh-CN" w:bidi="ar"/>
        </w:rPr>
        <w:t xml:space="preserve">月对机动车驾驶人考试情况进行监控、分析，及时查处、通报发现的问题。 </w:t>
      </w:r>
    </w:p>
    <w:p>
      <w:pPr>
        <w:keepNext w:val="0"/>
        <w:keepLines w:val="0"/>
        <w:widowControl/>
        <w:suppressLineNumbers w:val="0"/>
        <w:ind w:firstLine="560" w:firstLineChars="200"/>
        <w:jc w:val="left"/>
        <w:rPr>
          <w:color w:val="auto"/>
        </w:rPr>
      </w:pPr>
      <w:r>
        <w:rPr>
          <w:rFonts w:hint="eastAsia" w:ascii="微软雅黑" w:hAnsi="微软雅黑" w:eastAsia="微软雅黑" w:cs="微软雅黑"/>
          <w:color w:val="auto"/>
          <w:kern w:val="0"/>
          <w:sz w:val="28"/>
          <w:szCs w:val="28"/>
          <w:lang w:val="en-US" w:eastAsia="zh-CN" w:bidi="ar"/>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numPr>
          <w:ilvl w:val="0"/>
          <w:numId w:val="0"/>
        </w:numPr>
        <w:spacing w:line="540" w:lineRule="exact"/>
        <w:ind w:firstLine="562" w:firstLineChars="200"/>
        <w:outlineLvl w:val="2"/>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仿宋GB2312" w:cs="Times New Roman"/>
          <w:b w:val="0"/>
          <w:bCs w:val="0"/>
          <w:strike w:val="0"/>
          <w:dstrike w:val="0"/>
          <w:color w:val="auto"/>
          <w:sz w:val="28"/>
          <w:szCs w:val="28"/>
          <w:lang w:val="en-US" w:eastAsia="zh-CN"/>
        </w:rPr>
        <w:t>迪庆州</w:t>
      </w:r>
      <w:r>
        <w:rPr>
          <w:rFonts w:hint="eastAsia" w:ascii="Times New Roman" w:hAnsi="Times New Roman" w:eastAsia="方正仿宋_GBK" w:cs="Times New Roman"/>
          <w:b w:val="0"/>
          <w:bCs w:val="0"/>
          <w:strike w:val="0"/>
          <w:dstrike w:val="0"/>
          <w:color w:val="auto"/>
          <w:sz w:val="28"/>
          <w:szCs w:val="28"/>
          <w:lang w:val="en-US" w:eastAsia="zh-CN"/>
        </w:rPr>
        <w:t>公安局</w:t>
      </w:r>
      <w:r>
        <w:rPr>
          <w:rFonts w:hint="eastAsia" w:ascii="方正仿宋_GBK" w:hAnsi="方正仿宋_GBK" w:eastAsia="方正仿宋_GBK" w:cs="方正仿宋_GBK"/>
          <w:b w:val="0"/>
          <w:bCs w:val="0"/>
          <w:strike w:val="0"/>
          <w:dstrike w:val="0"/>
          <w:color w:val="auto"/>
          <w:sz w:val="28"/>
          <w:szCs w:val="28"/>
          <w:lang w:val="en-US" w:eastAsia="zh-CN"/>
        </w:rPr>
        <w:t>、委托的县级公安机关</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州</w:t>
      </w:r>
      <w:r>
        <w:rPr>
          <w:rFonts w:hint="default" w:ascii="方正仿宋_GBK" w:hAnsi="方正仿宋_GBK" w:eastAsia="方正仿宋_GBK" w:cs="方正仿宋_GBK"/>
          <w:b w:val="0"/>
          <w:bCs w:val="0"/>
          <w:strike w:val="0"/>
          <w:dstrike w:val="0"/>
          <w:color w:val="auto"/>
          <w:sz w:val="28"/>
          <w:szCs w:val="28"/>
          <w:lang w:val="en-US" w:eastAsia="zh-CN"/>
        </w:rPr>
        <w:t>级</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仿宋GB2312" w:cs="Times New Roman"/>
          <w:b w:val="0"/>
          <w:bCs w:val="0"/>
          <w:strike w:val="0"/>
          <w:dstrike w:val="0"/>
          <w:color w:val="auto"/>
          <w:sz w:val="28"/>
          <w:szCs w:val="28"/>
          <w:lang w:val="en-US" w:eastAsia="zh-CN"/>
        </w:rPr>
        <w:t>州</w:t>
      </w:r>
      <w:r>
        <w:rPr>
          <w:rFonts w:hint="default" w:ascii="方正仿宋_GBK" w:hAnsi="方正仿宋_GBK" w:eastAsia="方正仿宋_GBK" w:cs="方正仿宋_GBK"/>
          <w:b w:val="0"/>
          <w:bCs w:val="0"/>
          <w:strike w:val="0"/>
          <w:dstrike w:val="0"/>
          <w:color w:val="auto"/>
          <w:sz w:val="28"/>
          <w:szCs w:val="28"/>
          <w:lang w:val="en-US" w:eastAsia="zh-CN"/>
        </w:rPr>
        <w:t>级</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州</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机动车驾驶证核发、审验</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15.要素统一情况：</w:t>
      </w:r>
      <w:r>
        <w:rPr>
          <w:rFonts w:hint="eastAsia" w:ascii="方正仿宋_GBK" w:hAnsi="方正仿宋_GBK" w:eastAsia="方正仿宋_GBK" w:cs="方正仿宋_GBK"/>
          <w:b w:val="0"/>
          <w:bCs w:val="0"/>
          <w:strike w:val="0"/>
          <w:dstrike w:val="0"/>
          <w:color w:val="auto"/>
          <w:sz w:val="28"/>
          <w:szCs w:val="28"/>
          <w:lang w:val="en-US" w:eastAsia="zh-CN"/>
        </w:rPr>
        <w:t>全部要素全国统一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（1）年龄条件：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①申请小型汽车、小型自动挡汽车、残疾人专用小型自动挡载客汽车、轻便摩托车准驾车型的，在18周岁以上；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②申请低速载货汽车、三轮汽车、普通三轮摩托车、普通二轮摩托车或者轮式专用机械车准驾车型的，在18周岁以上，60周岁以下；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③申请城市公交车、中型客车、大型货车、轻型牵引挂车、无轨电车或者有轨电车准驾车型的，在20周岁以上，60周岁以下；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④申请大型客车、重型牵引挂车准驾车型的，在22周岁以上，60周岁以下；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⑤接受全日制驾驶职业教育的学生，申请大型客车、重型牵引挂车准驾车型的，在19周岁以上，60周岁以下。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（2）身体条件：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　　①身高：申请大型客车、重型牵引挂车、城市公交车、大型货车、无轨电车准驾车型的，身高为155厘米以上。申请中型客车准驾车型的，身高为150厘米以上；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②视力：申请大型客车、重型牵引挂车、城市公交车、中型客车、大型货车、无轨电车或者有轨电车准驾车型的，两眼裸视力或者矫正视力达到对数视力表5.0以上。申请其他准驾车型的，两眼裸视力或者矫正视力达到对数视力表4.9以上。单眼视力障碍，优眼裸视力或者矫正视力达到对数视力表5.0以上，且水平视野达到150度的，可以申请小型汽车、小型自动挡汽车、低速载货汽车、三轮汽车、残疾人专用小型自动挡载客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③辨色力：无红绿色盲；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④听力：两耳分别距音叉50厘米能辨别声源方向。有听力障碍但佩戴助听设备能够达到以上条件的，可以申请小型汽车、小型自动挡汽车准驾车型的机动车驾驶证；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⑤上肢：双手拇指健全，每只手其他手指必须有三指健全，肢体和手指运动功能正常。但手指末节残缺或者左手有三指健全，且双手手掌完整的，可以申请小型汽车、小型自动挡汽车、低速载货汽车、三轮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⑥下肢：双下肢健全且运动功能正常，不等长度不得大于5厘米。单独左下肢缺失或者丧失运动功能，但右下肢正常的，可以申请小型自动挡汽车准驾车型的机动车驾驶证； </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 xml:space="preserve">⑦躯干、颈部：无运动功能障碍； </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b w:val="0"/>
          <w:bCs w:val="0"/>
          <w:strike w:val="0"/>
          <w:dstrike w:val="0"/>
          <w:color w:val="auto"/>
          <w:sz w:val="28"/>
          <w:szCs w:val="28"/>
          <w:lang w:val="en-US" w:eastAsia="zh-CN"/>
        </w:rPr>
        <w:t>⑧右下肢、双下肢缺失或者丧失运动功能但能够自主坐立，且上肢符合身体条件规定的，可以申请残疾人专用小型自动挡载客汽车准驾车型的机动车驾驶证。一只手掌缺失，另一只手拇指健全，其他手指中有两指健全，上肢和手指运动功能正常，且下肢符合身体条件规定的，可以申请残疾人专用小型自动挡载客汽车准驾车型的机动</w:t>
      </w:r>
      <w:r>
        <w:rPr>
          <w:rFonts w:hint="default" w:ascii="方正仿宋_GBK" w:hAnsi="方正仿宋_GBK" w:eastAsia="方正仿宋_GBK" w:cs="方正仿宋_GBK"/>
          <w:color w:val="auto"/>
          <w:sz w:val="28"/>
          <w:szCs w:val="28"/>
        </w:rPr>
        <w:t>车驾驶证；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color w:val="auto"/>
          <w:sz w:val="28"/>
          <w:szCs w:val="28"/>
        </w:rPr>
        <w:t>⑨年龄在 70 周岁以上能够通过记忆力、判断力、反应力等能力测试的，可以申请小型汽车、小型自动挡汽车、残疾人专用小型自动挡载客汽车、轻便摩托车准驾车型的机动车驾驶证。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（1）《中华人民共和国道路交通安全法实施条例》第二十一条 公安机关交通管理部门应当对申请机动车驾驶证的人进行考试，对考试合格的，在 5 日内核发机动车驾驶证；对考试不合格的，书面说明理由。</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（2）《机动车驾驶证申领和使用规定》（公安部令第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第十四条 申请机动车驾驶证的人，应当符合下列规定：</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（一）年龄条件：</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1.申请小型汽车、小型自动挡汽车、残疾人专用小型自动挡载客汽车、轻便摩托车准驾车型的，在 18 周岁以上；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2.申请低速载货汽车、三轮汽车、普通三轮摩托车、普通二轮摩托车或者轮式专用机械车准驾车型的，在 18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3.申请城市公交车、中型客车、大型货车、轻型牵引挂车、无轨电车或者有轨电车准驾车型的，在 20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4.申请大型客车、重型牵引挂车准驾车型的，在 22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5.接受全日制驾驶职业教育的学生，申请大型客车、重型牵引挂车准驾车型的，在 19 周岁以上，60 周岁以下。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（二）身体条件：</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1.身高：申请大型客车、重型牵引挂车、城市公交车、大型货车、无轨电车准驾车型的，身高为 155 厘米以上。申请中型客车准驾车型的，身高为 150 厘米以上；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2.视力：申请大型客车、重型牵引挂车、城市公交车、中型客车、大型货车、无轨电车或者有轨电车准驾车型的，两眼裸视力或者矫正视力达到对数视力表 5.0 以上。申请其他准驾车型的，两眼裸视力或者矫正视力达到对数视力表 4.9 以上。单眼视力障碍，优眼裸视力或者矫正视力达到对数视力表 5.0 以上，且水平视野达到 150 度的，可以申请小型汽车、小型自动挡汽车、低速载货汽车、三轮汽车、残疾人专用小型自动挡载客汽车准驾车型的机动车驾驶证；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3.辨色力：无红绿色盲；</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4.听力：两耳分别距音叉 50 厘米能辨别声源方向。有听力障碍但佩戴助听设备能够达到以上条件的，可以申请小型汽车、小型自动挡汽车准驾车型的机动车驾驶证；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5.上肢：双手拇指健全，每只手其他手指必须有三指健全，肢体和手指运动功能正常。但手指末节残缺或者左手有三指健全，且双手手掌完整的，可以申请小型汽车、小型自动挡汽车、低速载货汽车、三轮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6.下肢：双下肢健全且运动功能正常，不等长度不得大于 5 厘米。单独左下肢缺失或者丧失运动功能，但右下肢正常的，可以申请小型自动挡汽车准驾车型的机动车驾驶证；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7.躯干、颈部：无运动功能障碍；</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8.右下肢、双下肢缺失或者丧失运动功能但能够自主坐立，且上肢符合本项第 5 目规定的，可以申请残疾人专用小型自动挡载客汽车准驾车型的机动车驾驶证。一只手掌缺失，另一只手拇指健全，其他手指有两指健全，上肢和手指运动功能正常，且下肢符合本项第 6 目规定的，可以申请残疾人专用小型自动挡载客汽车准驾车型的机动车驾驶证；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9.年龄在 70 周岁以上能够通过记忆力、判断力、反应力等能力测试的，可以申请小型汽车、小型自动挡汽车、残疾人专用小型自动挡载客汽车、轻便摩托车准驾车型的机动车驾驶证。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（3）《机动车驾驶证申领和使用规定》（公安部令第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第十五条 有下列情形之一的，不得申请机动车驾驶证: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（一）有器质性心脏病、癫痫病、美尼尔氏症、眩晕症、癔病、震颤麻痹、精神病、痴呆以及影响肢体活动的神经系统疾病等妨碍安全驾驶疾病的；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（二）三年内有吸食、注射毒品行为或者解除强制隔离戒毒措施未满三年，以及长期服用依赖性精神药品成瘾尚未戒除的；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（三）造成交通事故后逃逸构成犯罪的；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（四）饮酒后或者醉酒驾驶机动车发生重大交通事故构成犯罪的；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（五）醉酒驾驶机动车或者饮酒后驾驶营运机动车依法被吊销机动车驾驶证未满五年的；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（六）醉酒驾驶营运机动车依法被吊销机动车驾驶证未满十年的；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（七）驾驶机动车追逐竞驶、超员、超速、违反危险化学品安全管理规定运输危险化学品构成犯罪依法被吊销机动车驾驶证未满五年的；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（八）因本款第四项以外的其他违反交通管理法律法规的行为发生重大交通事故构成犯罪依法被吊销机动车驾驶证未满十年的；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（九）因其他情形依法被吊销机动车驾驶证未满二年的；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（十）驾驶许可依法被撤销未满三年的；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（十一）未取得机动车驾驶证驾驶机动车，发生负同等以上责任交通事故造成人员重伤或者死亡未满十年的；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（十二）三年内有代替他人参加机动车驾驶人考试行为的；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（十三）法律、行政法规规定的其他情形。</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未取得机动车驾驶证驾驶机动车，有第一款第五项至第八项行为之一的，在规定期限内不得申请机动车驾驶证。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（4）《机动车驾驶证申领和使用规定》（公安部令第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第十六条 初次申领机动车驾驶证的，可以申请准驾车型为城市公交车、大型货车、小型汽车、小型自动挡汽车、低速载货汽车、三轮汽车、残疾人专用小型自动挡载客汽车、普通三轮摩托车、普通二轮摩托车、轻便摩托车、轮式专用机械车、无轨电车、有轨电车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已持有机动车驾驶证，申请增加准驾车型的，可以申请增加的准驾车型为大型客车、重型牵引挂车、城市公交车、中型客车、大型货车、小型汽车、小型自动挡汽车、低速载货汽车、三轮汽车、轻型牵引挂车、普通三轮摩托车、普通二轮摩托车、轻便摩托车、轮式专用机械车、无轨电车、有轨电车。</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（5）《机动车驾驶证申领和使用规定》（公安部令第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第十七条 已持有机动车驾驶证，申请增加准驾车型的，应当在本记分周期和申请前最近一个记分周期内没有记满 12 分记录。申请增加轻型牵引挂车、中型客车、重型牵引挂车、大型客车准驾车型的，还应当符合下列规定：</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（一）申请增加轻型牵引挂车准驾车型的，已取得驾驶小型汽车、小型自动挡汽车准驾车型资格一年以上；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（二）申请增加中型客车准驾车型的，已取得驾驶城市公交车、大型货车、小型汽车、小型自动挡汽车、低速载货汽车或者三轮汽车准驾车型资格二年以上，并在申请前最近连续二个记分周期内没有记满 12 分记录；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（三）申请增加重型牵引挂车准驾车型的，已取得驾驶中型客车或者大型货车准驾车型资格二年以上，或者取得驾驶大型客车准驾车型资格一年以上，并在申请前最近连续二个记分周期内没有记满 12分记录；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四）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正在接受全日制驾驶职业教育的学生，已在校取得驾驶小型汽车准驾车型资格，并在本记分周期和申请前最近一个记分周期内没有记满 12 分记录的，可以申请增加大型客车、重型牵引挂车准驾车型。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（6）《机动车驾驶证申领和使用规定》（公安部令第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第十八条 有下列情形之一的，不得申请大型客车、重型牵引挂车、城市公交车、中型客车、大型货车准驾车型：</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（一）发生交通事故造成人员死亡，承担同等以上责任的；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（二）醉酒后驾驶机动车的； （三）再次饮酒后驾驶机动车的；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（四）有吸食、注射毒品后驾驶机动车行为的，或者有执行社区戒毒、强制隔离戒毒、社区康复措施记录的；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（五）驾驶机动车追逐竞驶、超员、超速、违反危险化学品安全管理规定运输危险化学品构成犯罪的；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（六）被吊销或者撤销机动车驾驶证未满十年的；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（七）未取得机动车驾驶证驾驶机动车，发生负同等以上责任交通事故造成人员重伤或者死亡的。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（7）《机动车驾驶证申领和使用规定》（公安部令第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第十九条 持有军队、武装警察部队机动车驾驶证，符合本规定的申请条件，可以申请对应准驾车型的机动车驾驶证。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（8）《机动车驾驶证申领和使用规定》（公安部令第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第二十条 持有境外机动车驾驶证，符合本规定的申请条件，且取得该驾驶证时在核发国家或者地区一年内累计居留九十日以上的，可以申请对应准驾车型的机动车驾驶证。属于申请准驾车型为大型客车、重型牵引挂车、中型客车机动车驾驶证的，还应当取得境外相应准驾车型机动车驾驶证二年以上。</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（9）《机动车驾驶证申领和使用规定》（公安部令第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第二十二条 申领机动车驾驶证的人，按照下列规定向车辆管理所提出申请：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（一）在户籍所在地居住的，应当在户籍所在地提出申请；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（二）在户籍所在地以外居住的，可以在居住地提出申请；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（三）现役军人（含武警），应当在部队驻地提出申请；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（四）境外人员，应当在居留地或者居住地提出申请；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（五）申请增加准驾车型的，应当在所持机动车驾驶证核发地提出申请；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（六）接受全日制驾驶职业教育，申请增加大型客车、重型牵引挂车准驾车型的，应当在接受教育地提出申请。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（10）《机动车驾驶证申领和使用规定》（公安部令第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第二十七条 申请机动车驾驶证的人，符合本规定要求的驾驶许可条件，有下列情形之一的，可以按照第十六条第一款和第二十三条的规定直接申请相应准驾车型的机动车驾驶证考试：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（一）原机动车驾驶证因超过有效期未换证被注销的；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（二）原机动车驾驶证因未提交身体条件证明被注销的；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（三）原机动车驾驶证由本人申请注销的；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（四）原机动车驾驶证因身体条件暂时不符合规定被注销的；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（五）原机动车驾驶证或者准驾车型资格因其他原因被注销的，但机动车驾驶证被吊销或者被撤销的除外；</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（六）持有的军队、武装警察部队机动车驾驶证超过有效期的；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（七）持有境外机动车驾驶证或者境外机动车驾驶证超过有效期的。</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有前款第六项、第七项规定情形之一的，还应当提交机动车驾驶证。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（11）《机动车驾驶证申领和使用规定》（公安部令第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第七十二条 机动车驾驶人应当按照法律、行政法规的规定，定期到公安机关交通管理部门接受审验。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机动车驾驶人按照本规定第六十三条、第六十四条换领机动车驾驶证时，应当接受公安机关交通管理部门的审验。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持有大型客车、重型牵引挂车、城市公交车、中型客车、大型货车驾驶证的驾驶人，应当在每个记分周期结束后三十日内到公安机关交通管理部门接受审验。但在一个记分周期内没有记分记录的，免予本记分周期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持有第三款规定以外准驾车型驾驶证的驾驶人，发生交通事故造成人员死亡承担同等以上责任未被吊销机动车驾驶证的，应当在本记分周期结束后三十日内到公安机关交通管理部门接受审验。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年龄在 70 周岁以上的机动车驾驶人发生责任交通事故造成人员重伤或者死亡的，应当在本记分周期结束后三十日内到公安机关交通管理部门接受审验。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机动车驾驶人可以在机动车驾驶证核发地或者核发地以外的地方参加审验、提交身体条件证明。</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（12）《机动车驾驶证申领和使用规定》（公安部令第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第七十三条 机动车驾驶证审验内容包括：</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（一）道路交通安全违法行为、交通事故处理情况；</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（二）身体条件情况；</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（三）道路交通安全违法行为记分及记满 12 分后参加学习和考试情况。</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持有大型客车、重型牵引挂车、城市公交车、中型客车、大型货车驾驶证一个记分周期内有记分的，以及持有其他准驾车型驾驶证发</w:t>
      </w:r>
    </w:p>
    <w:p>
      <w:pPr>
        <w:spacing w:line="600" w:lineRule="exact"/>
        <w:ind w:firstLine="0" w:firstLineChars="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生交通事故造成人员死亡承担同等以上责任未被吊销机动车驾驶证的驾驶人，审验时应当参加不少于三小时的道路交通安全法律法规、交通安全文明驾驶、应急处置等知识学习，并接受交通事故案例警示教育。</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年龄在 70 周岁以上的机动车驾驶人审验时还应当按照规定进行记忆力、判断力、反应力等能力测试。</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对道路交通安全违法行为或者交通事故未处理完毕的、身体条件不符合驾驶许可条件的、未按照规定参加学习、教育和考试的，不予通过审验。</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（13）《机动车驾驶证申领和使用规定》（公安部令第 162 号）</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第七十四条 年龄在 70 周岁以上的机动车驾驶人，应当每年进行一次身体检查，在记分周期结束后三十日内，提交医疗机构出具的有关身体条件的证明。</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 持有残疾人专用小型自动挡载客汽车驾驶证的机动车驾驶人，应当每三年进行一次身体检查，在记分周期结束后三十日内，提交医疗机构出具的有关身体条件的证明。</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机动车驾驶人按照本规定第七十二条第三款、第四款规定参加审</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验时，应当申报身体条件情况。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5.改革方式：</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减时限</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承诺</w:t>
      </w:r>
      <w:r>
        <w:rPr>
          <w:rFonts w:hint="eastAsia" w:ascii="方正仿宋_GBK" w:hAnsi="方正仿宋_GBK" w:eastAsia="方正仿宋_GBK" w:cs="方正仿宋_GBK"/>
          <w:color w:val="000000" w:themeColor="text1"/>
          <w:sz w:val="28"/>
          <w:szCs w:val="28"/>
          <w:lang w:eastAsia="zh-CN"/>
          <w14:textFill>
            <w14:solidFill>
              <w14:schemeClr w14:val="tx1"/>
            </w14:solidFill>
          </w14:textFill>
        </w:rPr>
        <w:t>减时限</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《机动车驾驶证申领和使用规定》（公安部令第 162 号）第五十五条 公安机关交通管理部门应当建立业务监督管理中心，通过远程监控、数据分析、日常检查、档案抽查、业务回访等方式，对机动车驾驶人考试和机动车驾驶证业务办理情况进行监督管理。</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直辖市、设区的市或者相当于同级的公安机关交通管理部门应当通过监管系统每周对机动车驾驶人考试情况进行监控、分析，及时查处整改发现的问题。省级公安机关交通管理部门应当通过监管系统每月对机动车驾驶人考试情况进行监控、分析，及时查处、通报发现的问题。</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（1）初次申领机动车驾驶证：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（2）持军队、武装警察部队驾驶证申请机动车驾驶证：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①申请人的身份证明。属于复员、转业、退伍的人员，还应当提交军队、武装警察部队核发的复员、转业、退伍证明；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③军队、武装警察部队机动车驾驶证。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（3）持境外机动车驾驶证申请机动车驾驶证：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③所持机动车驾驶证。属于非中文表述的，还应当提供翻译机构出具或者公证机构公证的中文翻译文本。</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属于外国驻华使馆、领馆人员及国际组织驻华代表机构人员申请的，按照外交对等原则执行。</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属于内地居民申请的，还应当提交申请人的护照或者往来港澳通行证、往来台湾通行证。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（4）按照驾驶证互认换领协议申领机动车驾驶证：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按照协议办理。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第二十三条 申请机动车驾驶证，应当确认申请信息，并提交以下证明：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（一）申请人的身份证明；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（二）医疗机构出具的有关身体条件的证明。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第二十四条 持军队、武装警察部队机动车驾驶证的人申请机动车驾驶证，应当确认申请信息，并提交以下证明、凭证：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（一）申请人的身份证明。属于复员、转业、退伍的人员，还应当提交军队、武装警察部队核发的复员、转业、退伍证明；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（二）医疗机构出具的有关身体条件的证明；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（三）军队、武装警察部队机动车驾驶证。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第二十五条 持境外机动车驾驶证的人申请机动车驾驶证，应当确认申请信息，并提交以下证明、凭证：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（一）申请人的身份证明；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（二）医疗机构出具的有关身体条件的证明；</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（三）所持机动车驾驶证。属于非中文表述的，还应当提供翻译机构出具或者公证机构公证的中文翻译文本。</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属于外国驻华使馆、领馆人员及国际组织驻华代表机构人员申请的，按照外交对等原则执行。</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属于内地居民申请的，还应当提交申请人的护照或者往来港澳通行证、往来台湾通行证。</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（4）《机动车驾驶证申领和使用规定》（公安部令第 162 号）</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第一百零四条 国家之间对机动车驾驶证有互相认可协议的，按照协议办理。</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国家之间签订有关协定涉及机动车驾驶证的，按照协定执行。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color w:val="auto"/>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（1）申请人申请；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（2）审批机构受理/不予受理；</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（3）审批机构审查；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（4）决定核发机动车驾驶证，或决定审验驾驶证通过。</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（1）《中华人民共和国道路交通安全法》第十九条 ……申请机动车驾驶证，应当符合国务院公安部门规定的驾驶许可条件；经考试合格后，由公安机关交通管理部门发给相应类别的机动车驾驶证。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 xml:space="preserve">持有境外机动车驾驶证的人，符合国务院公安部门规定的驾驶许可条件，经公安机关交通管理部门考核合格的，可以发给中国的机动车驾驶证。…… </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（2）《机动车驾驶证申领和使用规定》（公安部第 162 号令）</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第二十八条 申请人提交的证明、凭证齐全、符合法定形式的，车辆管理所应当受理，并按规定审查申请人的机动车驾驶证申请条件。属于持境外机动车驾驶证的人申请机动车驾驶证的，还应当核查申请人的出入境记录；属于第二十七条第一款第一项至第五项规定情形之一的，还应当核查申请人的驾驶经历；属于正在接受全日制驾驶职业教育的学生，申请增加大型客车、重型牵引挂车准驾车型的，还应当核查申请人的学籍。</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公安机关交通管理部门已经实现与医疗机构等单位联网核查的，申请人免予提交身体条件证明等证明、凭证。</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对于符合申请条件的，车辆管理所应当按规定安排预约考试；不需要考试的，一日内核发机动车驾驶证。申请人属于复员、转业、退伍人员持军队、武装警察部队机动车驾驶证申请机动车驾驶证的，应当收回军队、武装警察部队机动车驾驶证。</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方正仿宋_GBK" w:hAnsi="方正仿宋_GBK" w:eastAsia="方正仿宋_GBK" w:cs="方正仿宋_GBK"/>
          <w:color w:val="auto"/>
          <w:sz w:val="28"/>
          <w:szCs w:val="28"/>
        </w:rPr>
      </w:pPr>
      <w:r>
        <w:rPr>
          <w:rFonts w:hint="default" w:ascii="方正仿宋_GBK" w:hAnsi="方正仿宋_GBK" w:eastAsia="方正仿宋_GBK" w:cs="方正仿宋_GBK"/>
          <w:color w:val="auto"/>
          <w:sz w:val="28"/>
          <w:szCs w:val="28"/>
        </w:rPr>
        <w:t>《中华人民共和国道路交通安全法实施条例》第二十一条 公安机关交通管理部门应当对申请机动车驾驶证的人进行考试，对考试合格的，在 5 日内核发机动车驾驶证；</w:t>
      </w:r>
    </w:p>
    <w:p>
      <w:pPr>
        <w:spacing w:line="600" w:lineRule="exact"/>
        <w:ind w:firstLine="562" w:firstLineChars="200"/>
        <w:rPr>
          <w:rFonts w:hint="default"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lang w:val="en-US" w:eastAsia="zh-CN"/>
        </w:rPr>
        <w:t>1</w:t>
      </w:r>
      <w:r>
        <w:rPr>
          <w:rFonts w:hint="default" w:ascii="方正仿宋_GBK" w:hAnsi="方正仿宋_GBK" w:eastAsia="方正仿宋_GBK" w:cs="方正仿宋_GBK"/>
          <w:b w:val="0"/>
          <w:bCs w:val="0"/>
          <w:strike w:val="0"/>
          <w:dstrike w:val="0"/>
          <w:color w:val="auto"/>
          <w:sz w:val="28"/>
          <w:szCs w:val="28"/>
          <w:lang w:val="en-US" w:eastAsia="zh-CN"/>
        </w:rPr>
        <w:t>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spacing w:line="600" w:lineRule="exact"/>
        <w:ind w:firstLine="562" w:firstLineChars="200"/>
        <w:rPr>
          <w:rFonts w:hint="eastAsia" w:ascii="Times New Roman" w:hAnsi="Times New Roman" w:eastAsia="仿宋GB2312" w:cs="Times New Roman"/>
          <w:strike w:val="0"/>
          <w:dstrike w:val="0"/>
          <w:color w:val="auto"/>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（1）收费项目名称：机动车驾驶证工本费、机动车驾驶人考试费</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（2）收费项目标准</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驾驶证工本费的收费标准为每证 10 元；收取驾驶许可考试费的收费标准，由省、自治区、直辖市价格主管部门会同财政部门根据本地公安机关交通管理部门、农业（农业机械）主管部门组织驾驶许可考试的实际成本支出核定。</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（3）设定收费项目的依据</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《中华人民共和国道路交通安全法》第八十一条 依照本法发放牌证等收取工本费，应当严格执行国务院价格主管部门核定的收费标准，并全部上缴国库。</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（4）规定收费标准的依据</w:t>
      </w:r>
    </w:p>
    <w:p>
      <w:pPr>
        <w:spacing w:line="600" w:lineRule="exact"/>
        <w:ind w:firstLine="560" w:firstLineChars="200"/>
        <w:rPr>
          <w:rFonts w:hint="eastAsia" w:ascii="方正仿宋_GBK" w:hAnsi="方正仿宋_GBK" w:eastAsia="方正仿宋_GBK" w:cs="方正仿宋_GBK"/>
          <w:color w:val="auto"/>
          <w:sz w:val="28"/>
          <w:szCs w:val="28"/>
          <w:lang w:val="en-US"/>
        </w:rPr>
      </w:pPr>
      <w:r>
        <w:rPr>
          <w:rFonts w:hint="eastAsia" w:ascii="方正仿宋_GBK" w:hAnsi="方正仿宋_GBK" w:eastAsia="方正仿宋_GBK" w:cs="方正仿宋_GBK"/>
          <w:color w:val="auto"/>
          <w:sz w:val="28"/>
          <w:szCs w:val="28"/>
        </w:rPr>
        <w:t>①《国家发展改革委 财政部关于加强和规范机动车牌证工本费等收费标准管理有关问题的通知》（发改价格〔2004〕2831 号）一、…… 公安机关交通管理部门、农业（农业机械）主管部门在对考试合格的机动车驾驶证申请人发放驾驶证时，收取驾驶证工本费的收费标准为每证 10 元。</w:t>
      </w:r>
    </w:p>
    <w:p>
      <w:pPr>
        <w:spacing w:line="60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②《国家发展改革委 财政部关于加强和规范机动车牌证工本费等收费标准管理有关问题的通知》（发改价格〔2004〕2831 号） 三、公安机关交通管理部门、农业（农业机械）主管部门在组织机动车驾驶证申请人进行道路交通安全法律、法规、驾驶技能考试时收取驾驶许可考试费的收费标准，由省、自治区、直辖市价格主管部门会同财政部门根据本地公安机关交通管理部门、农业（农业机械）主管部门组织驾驶许可考试的实际成本支出核定。</w:t>
      </w:r>
    </w:p>
    <w:p>
      <w:pPr>
        <w:spacing w:line="600" w:lineRule="exact"/>
        <w:ind w:firstLine="560" w:firstLineChars="200"/>
        <w:rPr>
          <w:rFonts w:hint="eastAsia" w:ascii="方正仿宋_GBK" w:hAnsi="方正仿宋_GBK" w:eastAsia="方正仿宋_GBK" w:cs="方正仿宋_GBK"/>
          <w:b/>
          <w:bCs/>
          <w:strike w:val="0"/>
          <w:dstrike w:val="0"/>
          <w:color w:val="auto"/>
          <w:sz w:val="28"/>
          <w:szCs w:val="28"/>
          <w:lang w:val="en-US" w:eastAsia="zh-CN"/>
        </w:rPr>
      </w:pPr>
      <w:r>
        <w:rPr>
          <w:rFonts w:hint="default" w:ascii="Calibri" w:hAnsi="Calibri" w:eastAsia="方正仿宋_GBK" w:cs="Calibri"/>
          <w:color w:val="auto"/>
          <w:sz w:val="28"/>
          <w:szCs w:val="28"/>
          <w:lang w:val="en-US"/>
        </w:rPr>
        <w:t>③</w:t>
      </w:r>
      <w:r>
        <w:rPr>
          <w:rFonts w:hint="eastAsia" w:ascii="方正仿宋_GBK" w:hAnsi="方正仿宋_GBK" w:eastAsia="方正仿宋_GBK" w:cs="方正仿宋_GBK"/>
          <w:color w:val="auto"/>
          <w:sz w:val="28"/>
          <w:szCs w:val="28"/>
        </w:rPr>
        <w:t>云南省发展和改革委员会、省财政厅《关于机动车驾驶员许可考试收费标准的通知》（云发改收费〔2006〕1010号）一、交通法规及相关知识考试费（科目一）1.汽车（含轮式自行机械车）、摩托车，收费标准60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；2.三轮汽车、低速汽车，收费标准50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；3.未使用微机无纸化考试，收费标准20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。二、机动车场地驾驶考试费（科目二）1.汽车（含轮式自行机械车）使用红外线桩考仪，收费标准240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；2.摩托车，收费标准80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；3.三轮汽车、低速汽车，收费标准100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。三、机动车道路驾驶技能考试费（科目三）1.汽车（含轮式自行机械车），收费标准270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；2.摩托车，收费标准140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；3.三轮汽车、低速汽车，收费标准150</w:t>
      </w:r>
      <w:r>
        <w:rPr>
          <w:rFonts w:hint="eastAsia" w:ascii="方正仿宋_GBK" w:hAnsi="方正仿宋_GBK" w:eastAsia="方正仿宋_GBK" w:cs="方正仿宋_GBK"/>
          <w:color w:val="auto"/>
          <w:sz w:val="28"/>
          <w:szCs w:val="28"/>
          <w:lang w:val="en-US" w:eastAsia="zh-CN"/>
        </w:rPr>
        <w:t>元/每人次</w:t>
      </w:r>
      <w:r>
        <w:rPr>
          <w:rFonts w:hint="eastAsia" w:ascii="方正仿宋_GBK" w:hAnsi="方正仿宋_GBK" w:eastAsia="方正仿宋_GBK" w:cs="方正仿宋_GBK"/>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6年/10年/长期</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（1）《中华人民共和国道路交通安全法实施条例》第二十二条 机动车驾驶证的有效期为 6 年，本条例另有规定的除外。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（2）《中华人民共和国道路交通安全法实施条例》第二十六条 机动车驾驶人在机动车驾驶证的 6 年有效期内，每个记分周期均未达12 分的，换发 10 年有效期的机动车驾驶证；在机动车驾驶证的 10年有效期内，每个记分周期均未达到 12 分的，换发长期有效的机动车驾驶证。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（3）《机动车驾驶证申领和使用规定》（公安部第 162 号令）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第十三条 机动车驾驶证有效期分为六年、十年和长期。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已持有机动车驾驶证，需要增加的准驾车型为大型客车、重型牵引挂车、城市公交车、中型客车、大型货车、小型汽车、小型自动挡汽车、低速载货汽车、三轮汽车、轻型牵引挂车、普通三轮摩托车、普通二轮摩托车、轻便摩托车、轮式专用机械车、无轨电车、有轨电车。申请增加准驾车型的，应当在本记分周期和申请前最近一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（2）申请增加轻型牵引挂车、中型客车、重型牵引挂车、大型客车准驾车型的，还应当符合下列规定：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①申请增加轻型牵引挂车准驾车型的，已取得驾驶小型汽车、小型自动挡汽车准驾车型资格一年以上；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②申请增加中型客车准驾车型的，已取得驾驶城市公交车、大型货车、小型汽车、小型自动挡汽车、低速载货汽车或者三轮汽车准驾车型资格二年以上，并在申请前最近连续二个记分周期内没有记满12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③申请增加重型牵引挂车准驾车型的，已取得驾驶中型客车或者大型货车准驾车型资格二年以上，或者取得驾驶大型客车准驾车型资格一年以上，并在申请前最近连续二个记分周期内没有记满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④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⑤正在接受全日制驾驶职业教育的学生，已在校取得驾驶小型汽车准驾车型资格，并在本记分周期和申请前最近一个记分周期内没有记满 12 分记录的，可以申请增加大型客车、重型牵引挂车准驾车型。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（3）不得申请大型客车、重型牵引挂车、城市公交车、中型客车、大型货车准驾车型的情形：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①发生交通事故造成人员死亡，承担同等以上责任的；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②醉酒后驾驶机动车的；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③再次饮酒后驾驶机动车的；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④有吸食、注射毒品后驾驶机动车行为的，或者有执行社区戒毒、强制隔离戒毒、社区康复措施记录的；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⑤驾驶机动车追逐竞驶、超员、超速、违反危险化学品安全管理规定运输危险化学品构成犯罪的；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⑥被吊销或者撤销机动车驾驶证未满十年的；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⑦未取得机动车驾驶证驾驶机动车，发生负同等以上责任交通事故造成人员重伤或者死亡的。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机动车驾驶人在机动车驾驶证的 6 年有效期内，每个记分周期均未达到 12 分的，换发 10 年有效期的机动车驾驶证；在机动车驾驶证的 10 年有效期内，每个记分周期均未达到 12 分的，换发长期有效的机动车驾驶证。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《中华人民共和国道路交通安全法》第十九条 驾驶机动车，应</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方正仿宋_GBK" w:hAnsi="方正仿宋_GBK" w:eastAsia="方正仿宋_GBK" w:cs="方正仿宋_GBK"/>
          <w:color w:val="auto"/>
          <w:sz w:val="28"/>
          <w:szCs w:val="28"/>
        </w:rPr>
        <w:t>当依法取得机动车驾驶证。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《机动车驾驶证申领和使用规定》（公安部令第 162 号）第六十三条 机动车驾驶人应当于机动车驾驶证有效期满前九十日内，向机动车驾驶证核发地或者核发地以外的车辆管理所申请换证。申请时应当确认申请信息，并提交以下证明、凭证：（一）机动车驾驶人的身份证明；（二）医疗机构出具的有关身体条件的证明。</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6年/10年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机动车驾驶人的身份证明、医疗机构出具的有关身体条件的证明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（1）年检收费项目的名称：机动车驾驶证工本费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（2）年检收费项目的标准：驾驶证工本费的收费标准为每证 10元。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（3）设定年检收费项目的依据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《中华人民共和国道路交通安全法》第八十一条 依照本法发放牌证等收取工本费，应当严格执行国务院价格主管部门核定的收费标准，并全部上缴国库。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《国家发展改革委、财政部关于加强和规范机动车牌证工本费等收费标准管理有关问题的通知》（发改价格〔2004〕2831 号） 一、……公安机关交通管理部门、农业（农业机械）主管部门在对考试合格的机动车驾驶证申请人发放驾驶证时，收取驾驶证工本费的收费标准为每证 10 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机动车驾驶证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省公安厅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
    <w:p/>
    <w:p/>
    <w:p/>
    <w:p/>
    <w:p/>
    <w:p/>
    <w:p/>
    <w:p/>
    <w:p/>
    <w:p>
      <w:pPr>
        <w:spacing w:line="400" w:lineRule="exact"/>
        <w:jc w:val="center"/>
        <w:rPr>
          <w:rFonts w:hint="eastAsia" w:ascii="宋体" w:hAnsi="宋体" w:eastAsia="方正小标宋_GBK" w:cs="方正小标宋_GBK"/>
          <w:color w:val="000000"/>
          <w:kern w:val="0"/>
          <w:sz w:val="40"/>
          <w:szCs w:val="40"/>
        </w:rPr>
      </w:pPr>
    </w:p>
    <w:p>
      <w:pPr>
        <w:spacing w:line="400" w:lineRule="exact"/>
        <w:jc w:val="center"/>
        <w:rPr>
          <w:rFonts w:hint="eastAsia" w:ascii="宋体" w:hAnsi="宋体" w:eastAsia="方正小标宋_GBK" w:cs="方正小标宋_GBK"/>
          <w:color w:val="000000"/>
          <w:kern w:val="0"/>
          <w:sz w:val="40"/>
          <w:szCs w:val="40"/>
        </w:rPr>
      </w:pPr>
    </w:p>
    <w:p>
      <w:pPr>
        <w:spacing w:line="400" w:lineRule="exact"/>
        <w:jc w:val="center"/>
        <w:rPr>
          <w:rFonts w:hint="eastAsia" w:ascii="宋体" w:hAnsi="宋体" w:eastAsia="方正小标宋_GBK" w:cs="方正小标宋_GBK"/>
          <w:color w:val="000000"/>
          <w:kern w:val="0"/>
          <w:sz w:val="40"/>
          <w:szCs w:val="40"/>
        </w:rPr>
      </w:pPr>
    </w:p>
    <w:p>
      <w:pPr>
        <w:spacing w:line="400" w:lineRule="exact"/>
        <w:jc w:val="center"/>
        <w:rPr>
          <w:rFonts w:hint="eastAsia" w:ascii="宋体" w:hAnsi="宋体" w:eastAsia="方正小标宋_GBK" w:cs="方正小标宋_GBK"/>
          <w:color w:val="000000"/>
          <w:kern w:val="0"/>
          <w:sz w:val="40"/>
          <w:szCs w:val="40"/>
        </w:rPr>
      </w:pPr>
    </w:p>
    <w:p>
      <w:pPr>
        <w:spacing w:line="400" w:lineRule="exact"/>
        <w:jc w:val="center"/>
        <w:rPr>
          <w:rFonts w:hint="eastAsia" w:ascii="宋体" w:hAnsi="宋体" w:eastAsia="方正小标宋_GBK" w:cs="方正小标宋_GBK"/>
          <w:color w:val="000000"/>
          <w:kern w:val="0"/>
          <w:sz w:val="40"/>
          <w:szCs w:val="40"/>
        </w:rPr>
      </w:pPr>
    </w:p>
    <w:p>
      <w:pPr>
        <w:spacing w:line="400" w:lineRule="exact"/>
        <w:jc w:val="center"/>
        <w:rPr>
          <w:rFonts w:hint="eastAsia" w:ascii="宋体" w:hAnsi="宋体" w:eastAsia="方正小标宋_GBK" w:cs="方正小标宋_GBK"/>
          <w:color w:val="000000"/>
          <w:kern w:val="0"/>
          <w:sz w:val="40"/>
          <w:szCs w:val="40"/>
        </w:rPr>
      </w:pPr>
    </w:p>
    <w:p>
      <w:pPr>
        <w:spacing w:line="400" w:lineRule="exact"/>
        <w:jc w:val="center"/>
      </w:pPr>
      <w:r>
        <w:rPr>
          <w:rFonts w:hint="eastAsia" w:ascii="宋体" w:hAnsi="宋体" w:eastAsia="方正小标宋_GBK" w:cs="方正小标宋_GBK"/>
          <w:color w:val="000000"/>
          <w:kern w:val="0"/>
          <w:sz w:val="40"/>
          <w:szCs w:val="40"/>
        </w:rPr>
        <w:t>行政许可事项实施规范目录</w:t>
      </w:r>
    </w:p>
    <w:tbl>
      <w:tblPr>
        <w:tblStyle w:val="5"/>
        <w:tblW w:w="14545" w:type="dxa"/>
        <w:jc w:val="center"/>
        <w:tblInd w:w="0" w:type="dxa"/>
        <w:tblLayout w:type="fixed"/>
        <w:tblCellMar>
          <w:top w:w="0" w:type="dxa"/>
          <w:left w:w="108" w:type="dxa"/>
          <w:bottom w:w="0" w:type="dxa"/>
          <w:right w:w="108" w:type="dxa"/>
        </w:tblCellMar>
      </w:tblPr>
      <w:tblGrid>
        <w:gridCol w:w="654"/>
        <w:gridCol w:w="814"/>
        <w:gridCol w:w="747"/>
        <w:gridCol w:w="966"/>
        <w:gridCol w:w="899"/>
        <w:gridCol w:w="815"/>
        <w:gridCol w:w="4032"/>
        <w:gridCol w:w="483"/>
        <w:gridCol w:w="497"/>
        <w:gridCol w:w="832"/>
        <w:gridCol w:w="655"/>
        <w:gridCol w:w="704"/>
        <w:gridCol w:w="672"/>
        <w:gridCol w:w="617"/>
        <w:gridCol w:w="567"/>
        <w:gridCol w:w="591"/>
      </w:tblGrid>
      <w:tr>
        <w:tblPrEx>
          <w:tblLayout w:type="fixed"/>
          <w:tblCellMar>
            <w:top w:w="0" w:type="dxa"/>
            <w:left w:w="108" w:type="dxa"/>
            <w:bottom w:w="0" w:type="dxa"/>
            <w:right w:w="108" w:type="dxa"/>
          </w:tblCellMar>
        </w:tblPrEx>
        <w:trPr>
          <w:trHeight w:val="1153"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序号</w:t>
            </w:r>
          </w:p>
        </w:tc>
        <w:tc>
          <w:tcPr>
            <w:tcW w:w="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主管部门</w:t>
            </w:r>
          </w:p>
        </w:tc>
        <w:tc>
          <w:tcPr>
            <w:tcW w:w="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主项</w:t>
            </w: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子项</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办理项</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实施机关</w:t>
            </w:r>
          </w:p>
        </w:tc>
        <w:tc>
          <w:tcPr>
            <w:tcW w:w="4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设定和实施依据</w:t>
            </w:r>
          </w:p>
        </w:tc>
        <w:tc>
          <w:tcPr>
            <w:tcW w:w="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是否涉企</w:t>
            </w:r>
          </w:p>
        </w:tc>
        <w:tc>
          <w:tcPr>
            <w:tcW w:w="4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改革方式</w:t>
            </w:r>
          </w:p>
        </w:tc>
        <w:tc>
          <w:tcPr>
            <w:tcW w:w="8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改革举措</w:t>
            </w:r>
          </w:p>
        </w:tc>
        <w:tc>
          <w:tcPr>
            <w:tcW w:w="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中介服务事项名称</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技术性服务事项名称</w:t>
            </w: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行政许可事项类型</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审批结果类型</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法定</w:t>
            </w:r>
            <w:r>
              <w:rPr>
                <w:rFonts w:hint="eastAsia" w:ascii="Times New Roman" w:hAnsi="Times New Roman" w:eastAsia="黑体"/>
                <w:color w:val="000000"/>
                <w:kern w:val="0"/>
                <w:szCs w:val="21"/>
              </w:rPr>
              <w:t>审批</w:t>
            </w:r>
            <w:r>
              <w:rPr>
                <w:rFonts w:ascii="Times New Roman" w:hAnsi="Times New Roman" w:eastAsia="黑体"/>
                <w:color w:val="000000"/>
                <w:kern w:val="0"/>
                <w:szCs w:val="21"/>
              </w:rPr>
              <w:t>时限</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承诺</w:t>
            </w:r>
            <w:r>
              <w:rPr>
                <w:rFonts w:hint="eastAsia" w:ascii="Times New Roman" w:hAnsi="Times New Roman" w:eastAsia="黑体"/>
                <w:color w:val="000000"/>
                <w:kern w:val="0"/>
                <w:szCs w:val="21"/>
              </w:rPr>
              <w:t>审批</w:t>
            </w:r>
            <w:r>
              <w:rPr>
                <w:rFonts w:ascii="Times New Roman" w:hAnsi="Times New Roman" w:eastAsia="黑体"/>
                <w:color w:val="000000"/>
                <w:kern w:val="0"/>
                <w:szCs w:val="21"/>
              </w:rPr>
              <w:t>时限</w:t>
            </w:r>
          </w:p>
        </w:tc>
      </w:tr>
      <w:tr>
        <w:tblPrEx>
          <w:tblLayout w:type="fixed"/>
          <w:tblCellMar>
            <w:top w:w="0" w:type="dxa"/>
            <w:left w:w="108" w:type="dxa"/>
            <w:bottom w:w="0" w:type="dxa"/>
            <w:right w:w="108" w:type="dxa"/>
          </w:tblCellMar>
        </w:tblPrEx>
        <w:trPr>
          <w:trHeight w:val="5600"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spacing w:val="23"/>
                <w:szCs w:val="21"/>
              </w:rPr>
            </w:pPr>
            <w:r>
              <w:rPr>
                <w:rFonts w:ascii="Times New Roman" w:hAnsi="Times New Roman"/>
                <w:spacing w:val="23"/>
                <w:szCs w:val="21"/>
              </w:rPr>
              <w:t>134</w:t>
            </w:r>
          </w:p>
          <w:p>
            <w:pPr>
              <w:pStyle w:val="2"/>
              <w:rPr>
                <w:szCs w:val="21"/>
              </w:rPr>
            </w:pPr>
            <w:r>
              <w:rPr>
                <w:rFonts w:hint="eastAsia" w:ascii="Times New Roman" w:hAnsi="Times New Roman" w:eastAsia="方正仿宋_GBK"/>
                <w:color w:val="000000"/>
                <w:spacing w:val="-11"/>
                <w:kern w:val="0"/>
                <w:szCs w:val="21"/>
              </w:rPr>
              <w:t>（示例）</w:t>
            </w:r>
          </w:p>
        </w:tc>
        <w:tc>
          <w:tcPr>
            <w:tcW w:w="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方正仿宋_GBK" w:hAnsi="方正仿宋_GBK" w:eastAsia="方正仿宋_GBK" w:cs="方正仿宋_GBK"/>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迪庆州公安局</w:t>
            </w:r>
          </w:p>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2"/>
                <w:szCs w:val="22"/>
                <w:u w:val="none"/>
                <w:lang w:val="en-US" w:eastAsia="zh-CN" w:bidi="ar"/>
              </w:rPr>
            </w:pPr>
          </w:p>
        </w:tc>
        <w:tc>
          <w:tcPr>
            <w:tcW w:w="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jc w:val="center"/>
              <w:textAlignment w:val="auto"/>
              <w:outlineLvl w:val="1"/>
              <w:rPr>
                <w:rFonts w:hint="eastAsia" w:ascii="方正仿宋_GBK" w:hAnsi="方正仿宋_GBK" w:eastAsia="方正仿宋_GBK" w:cs="方正仿宋_GBK"/>
                <w:strike w:val="0"/>
                <w:dstrike w:val="0"/>
                <w:color w:val="auto"/>
                <w:sz w:val="22"/>
                <w:szCs w:val="22"/>
                <w:lang w:val="en-US" w:eastAsia="zh-CN"/>
              </w:rPr>
            </w:pPr>
            <w:r>
              <w:rPr>
                <w:rFonts w:hint="eastAsia" w:ascii="方正仿宋_GBK" w:hAnsi="方正仿宋_GBK" w:eastAsia="方正仿宋_GBK" w:cs="方正仿宋_GBK"/>
                <w:strike w:val="0"/>
                <w:dstrike w:val="0"/>
                <w:color w:val="auto"/>
                <w:sz w:val="22"/>
                <w:szCs w:val="22"/>
                <w:lang w:val="en-US" w:eastAsia="zh-CN"/>
              </w:rPr>
              <w:t>机动车驾驶证核发、审验</w:t>
            </w:r>
          </w:p>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2"/>
                <w:szCs w:val="22"/>
                <w:u w:val="none"/>
                <w:lang w:val="en-US" w:eastAsia="zh-CN" w:bidi="ar"/>
              </w:rPr>
            </w:pPr>
          </w:p>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2"/>
                <w:szCs w:val="22"/>
                <w:u w:val="none"/>
                <w:lang w:val="en-US"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hint="default" w:ascii="Times New Roman" w:hAnsi="Times New Roman" w:eastAsia="宋体"/>
                <w:color w:val="000000"/>
                <w:sz w:val="24"/>
                <w:lang w:val="en-US" w:eastAsia="zh-CN"/>
              </w:rPr>
            </w:pPr>
            <w:r>
              <w:rPr>
                <w:rFonts w:hint="eastAsia"/>
              </w:rPr>
              <w:t>机动车驾驶证核发、审验</w:t>
            </w:r>
            <w:r>
              <w:rPr>
                <w:rFonts w:hint="eastAsia"/>
                <w:lang w:val="en-US" w:eastAsia="zh-CN"/>
              </w:rPr>
              <w:t>,</w:t>
            </w: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sz w:val="24"/>
              </w:rPr>
            </w:pPr>
            <w:r>
              <w:rPr>
                <w:rFonts w:hint="eastAsia"/>
              </w:rPr>
              <w:t>机动车驾驶证核发、审验</w:t>
            </w:r>
            <w:r>
              <w:rPr>
                <w:rFonts w:hint="eastAsia"/>
                <w:lang w:val="en-US" w:eastAsia="zh-CN"/>
              </w:rPr>
              <w:t>,</w:t>
            </w: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hint="eastAsia" w:ascii="Times New Roman" w:hAnsi="Times New Roman" w:eastAsia="方正仿宋_GBK"/>
                <w:color w:val="000000"/>
                <w:kern w:val="0"/>
                <w:szCs w:val="21"/>
              </w:rPr>
            </w:pPr>
            <w:r>
              <w:rPr>
                <w:rFonts w:hint="eastAsia" w:ascii="Times New Roman" w:hAnsi="Times New Roman" w:eastAsia="方正仿宋_GBK"/>
                <w:color w:val="000000"/>
                <w:kern w:val="0"/>
                <w:szCs w:val="21"/>
              </w:rPr>
              <w:t>迪庆州公安局</w:t>
            </w:r>
          </w:p>
          <w:p>
            <w:pPr>
              <w:widowControl/>
              <w:spacing w:line="320" w:lineRule="exact"/>
              <w:jc w:val="center"/>
              <w:textAlignment w:val="center"/>
              <w:rPr>
                <w:rFonts w:ascii="Times New Roman" w:hAnsi="Times New Roman" w:eastAsia="方正仿宋_GBK"/>
                <w:color w:val="000000"/>
                <w:szCs w:val="21"/>
              </w:rPr>
            </w:pPr>
          </w:p>
        </w:tc>
        <w:tc>
          <w:tcPr>
            <w:tcW w:w="4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textAlignment w:val="center"/>
              <w:rPr>
                <w:rFonts w:hint="default" w:ascii="Times New Roman" w:hAnsi="Times New Roman" w:eastAsia="方正仿宋_GBK"/>
                <w:color w:val="000000"/>
                <w:szCs w:val="21"/>
                <w:lang w:val="en-US" w:eastAsia="zh-CN"/>
              </w:rPr>
            </w:pPr>
            <w:r>
              <w:rPr>
                <w:rFonts w:hint="default" w:ascii="Times New Roman" w:hAnsi="Times New Roman" w:eastAsia="方正仿宋_GBK"/>
                <w:color w:val="000000"/>
                <w:szCs w:val="21"/>
                <w:lang w:val="en-US" w:eastAsia="zh-CN"/>
              </w:rPr>
              <w:t>《中华人民共和国道路交通安全法》</w:t>
            </w:r>
          </w:p>
          <w:p>
            <w:pPr>
              <w:widowControl/>
              <w:spacing w:line="320" w:lineRule="exact"/>
              <w:jc w:val="left"/>
              <w:textAlignment w:val="center"/>
              <w:rPr>
                <w:rFonts w:hint="default" w:ascii="Times New Roman" w:hAnsi="Times New Roman" w:eastAsia="方正仿宋_GBK"/>
                <w:color w:val="000000"/>
                <w:szCs w:val="21"/>
                <w:lang w:val="en-US" w:eastAsia="zh-CN"/>
              </w:rPr>
            </w:pPr>
            <w:r>
              <w:rPr>
                <w:rFonts w:hint="default" w:ascii="Times New Roman" w:hAnsi="Times New Roman" w:eastAsia="方正仿宋_GBK"/>
                <w:color w:val="000000"/>
                <w:szCs w:val="21"/>
                <w:lang w:val="en-US" w:eastAsia="zh-CN"/>
              </w:rPr>
              <w:t>《中华人民共和国道路交通安全法实施条例》</w:t>
            </w:r>
          </w:p>
          <w:p>
            <w:pPr>
              <w:widowControl/>
              <w:spacing w:line="320" w:lineRule="exact"/>
              <w:jc w:val="left"/>
              <w:textAlignment w:val="center"/>
              <w:rPr>
                <w:rFonts w:hint="default" w:ascii="Times New Roman" w:hAnsi="Times New Roman" w:eastAsia="方正仿宋_GBK"/>
                <w:color w:val="000000"/>
                <w:szCs w:val="21"/>
                <w:lang w:val="en-US" w:eastAsia="zh-CN"/>
              </w:rPr>
            </w:pPr>
            <w:r>
              <w:rPr>
                <w:rFonts w:hint="default" w:ascii="Times New Roman" w:hAnsi="Times New Roman" w:eastAsia="方正仿宋_GBK"/>
                <w:color w:val="000000"/>
                <w:szCs w:val="21"/>
                <w:lang w:val="en-US" w:eastAsia="zh-CN"/>
              </w:rPr>
              <w:t>《机动车驾驶证申领和使用规定》（公安部令第 162 号）</w:t>
            </w:r>
          </w:p>
          <w:p>
            <w:pPr>
              <w:widowControl/>
              <w:spacing w:line="320" w:lineRule="exact"/>
              <w:jc w:val="left"/>
              <w:textAlignment w:val="center"/>
              <w:rPr>
                <w:rFonts w:ascii="Times New Roman" w:hAnsi="Times New Roman" w:eastAsia="方正仿宋_GBK"/>
                <w:color w:val="000000"/>
                <w:szCs w:val="21"/>
              </w:rPr>
            </w:pPr>
            <w:r>
              <w:rPr>
                <w:rFonts w:hint="default" w:ascii="Times New Roman" w:hAnsi="Times New Roman" w:eastAsia="方正仿宋_GBK"/>
                <w:color w:val="000000"/>
                <w:szCs w:val="21"/>
                <w:lang w:val="en-US" w:eastAsia="zh-CN"/>
              </w:rPr>
              <w:t>《国家发展改革委 财政部关于加强和规范机动车牌证工本费等收费标准管理有关问题的通知》（发改价格〔2004〕2831 号）</w:t>
            </w:r>
          </w:p>
        </w:tc>
        <w:tc>
          <w:tcPr>
            <w:tcW w:w="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否</w:t>
            </w:r>
          </w:p>
        </w:tc>
        <w:tc>
          <w:tcPr>
            <w:tcW w:w="4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无</w:t>
            </w:r>
          </w:p>
        </w:tc>
        <w:tc>
          <w:tcPr>
            <w:tcW w:w="8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textAlignment w:val="center"/>
              <w:rPr>
                <w:rFonts w:hint="eastAsia" w:ascii="Times New Roman" w:hAnsi="Times New Roman" w:eastAsia="方正仿宋_GBK"/>
                <w:color w:val="000000"/>
                <w:szCs w:val="21"/>
                <w:lang w:eastAsia="zh-CN"/>
              </w:rPr>
            </w:pPr>
            <w:r>
              <w:rPr>
                <w:rFonts w:hint="eastAsia" w:ascii="Times New Roman" w:hAnsi="Times New Roman" w:eastAsia="方正仿宋_GBK"/>
                <w:color w:val="000000"/>
                <w:kern w:val="0"/>
                <w:szCs w:val="21"/>
                <w:lang w:eastAsia="zh-CN"/>
              </w:rPr>
              <w:t>无</w:t>
            </w:r>
          </w:p>
        </w:tc>
        <w:tc>
          <w:tcPr>
            <w:tcW w:w="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无</w:t>
            </w: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无</w:t>
            </w: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条件型</w:t>
            </w: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其他</w:t>
            </w: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hint="eastAsia" w:ascii="Times New Roman" w:hAnsi="Times New Roman" w:eastAsia="方正仿宋_GBK"/>
                <w:color w:val="000000"/>
                <w:szCs w:val="21"/>
                <w:lang w:val="en-US" w:eastAsia="zh-CN"/>
              </w:rPr>
            </w:pPr>
            <w:r>
              <w:rPr>
                <w:rFonts w:hint="eastAsia" w:ascii="Times New Roman" w:hAnsi="Times New Roman" w:eastAsia="方正仿宋_GBK"/>
                <w:color w:val="000000"/>
                <w:kern w:val="0"/>
                <w:szCs w:val="21"/>
                <w:lang w:val="en-US" w:eastAsia="zh-CN"/>
              </w:rPr>
              <w:t>5个工作日</w:t>
            </w: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hint="eastAsia" w:ascii="Times New Roman" w:hAnsi="Times New Roman" w:eastAsia="方正仿宋_GBK"/>
                <w:color w:val="000000"/>
                <w:szCs w:val="21"/>
                <w:lang w:eastAsia="zh-CN"/>
              </w:rPr>
            </w:pPr>
            <w:r>
              <w:rPr>
                <w:rFonts w:hint="eastAsia" w:ascii="Times New Roman" w:hAnsi="Times New Roman" w:eastAsia="方正仿宋_GBK"/>
                <w:color w:val="000000"/>
                <w:kern w:val="0"/>
                <w:szCs w:val="21"/>
                <w:lang w:val="en-US" w:eastAsia="zh-CN"/>
              </w:rPr>
              <w:t>1个工作日</w:t>
            </w:r>
          </w:p>
        </w:tc>
      </w:tr>
      <w:tr>
        <w:tblPrEx>
          <w:tblLayout w:type="fixed"/>
          <w:tblCellMar>
            <w:top w:w="0" w:type="dxa"/>
            <w:left w:w="108" w:type="dxa"/>
            <w:bottom w:w="0" w:type="dxa"/>
            <w:right w:w="108" w:type="dxa"/>
          </w:tblCellMar>
        </w:tblPrEx>
        <w:trPr>
          <w:trHeight w:val="90"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2"/>
              <w:rPr>
                <w:rFonts w:ascii="Times New Roman" w:hAnsi="Times New Roman" w:eastAsia="方正仿宋_GBK"/>
                <w:color w:val="000000"/>
                <w:spacing w:val="-11"/>
                <w:kern w:val="0"/>
                <w:szCs w:val="21"/>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textAlignment w:val="center"/>
              <w:rPr>
                <w:rFonts w:ascii="Times New Roman" w:hAnsi="Times New Roman" w:eastAsia="方正仿宋_GBK"/>
                <w:color w:val="000000"/>
                <w:kern w:val="0"/>
                <w:szCs w:val="21"/>
              </w:rPr>
            </w:pPr>
          </w:p>
        </w:tc>
        <w:tc>
          <w:tcPr>
            <w:tcW w:w="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textAlignment w:val="center"/>
              <w:rPr>
                <w:rFonts w:ascii="宋体" w:hAnsi="宋体" w:eastAsia="方正仿宋_GBK" w:cs="方正仿宋_GBK"/>
                <w:kern w:val="0"/>
                <w:szCs w:val="21"/>
              </w:rPr>
            </w:pP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宋体" w:hAnsi="宋体" w:eastAsia="方正仿宋_GBK" w:cs="方正仿宋_GBK"/>
                <w:kern w:val="0"/>
                <w:szCs w:val="21"/>
              </w:rPr>
            </w:pP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宋体" w:hAnsi="宋体" w:eastAsia="方正仿宋_GBK" w:cs="方正仿宋_GBK"/>
                <w:kern w:val="0"/>
                <w:szCs w:val="21"/>
              </w:rPr>
            </w:pP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4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textAlignment w:val="center"/>
              <w:rPr>
                <w:rFonts w:ascii="宋体" w:hAnsi="宋体" w:eastAsia="方正仿宋_GBK" w:cs="方正仿宋_GBK"/>
                <w:kern w:val="0"/>
                <w:szCs w:val="21"/>
              </w:rPr>
            </w:pPr>
          </w:p>
        </w:tc>
        <w:tc>
          <w:tcPr>
            <w:tcW w:w="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4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8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textAlignment w:val="center"/>
              <w:rPr>
                <w:rFonts w:ascii="Times New Roman" w:hAnsi="Times New Roman" w:eastAsia="方正仿宋_GBK"/>
                <w:color w:val="000000"/>
                <w:kern w:val="0"/>
                <w:szCs w:val="21"/>
              </w:rPr>
            </w:pPr>
          </w:p>
        </w:tc>
        <w:tc>
          <w:tcPr>
            <w:tcW w:w="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6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textAlignment w:val="center"/>
              <w:rPr>
                <w:rFonts w:ascii="Times New Roman" w:hAnsi="Times New Roman" w:eastAsia="方正仿宋_GBK"/>
                <w:color w:val="000000"/>
                <w:kern w:val="0"/>
                <w:szCs w:val="21"/>
              </w:rPr>
            </w:pPr>
          </w:p>
        </w:tc>
      </w:tr>
      <w:tr>
        <w:tblPrEx>
          <w:tblLayout w:type="fixed"/>
          <w:tblCellMar>
            <w:top w:w="0" w:type="dxa"/>
            <w:left w:w="108" w:type="dxa"/>
            <w:bottom w:w="0" w:type="dxa"/>
            <w:right w:w="108" w:type="dxa"/>
          </w:tblCellMar>
        </w:tblPrEx>
        <w:trPr>
          <w:trHeight w:val="190" w:hRule="atLeast"/>
          <w:jc w:val="center"/>
        </w:trPr>
        <w:tc>
          <w:tcPr>
            <w:tcW w:w="65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7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8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8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40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rPr>
                <w:rFonts w:ascii="Times New Roman" w:hAnsi="Times New Roman" w:eastAsia="方正仿宋_GBK"/>
                <w:color w:val="000000"/>
                <w:sz w:val="24"/>
              </w:rPr>
            </w:pPr>
          </w:p>
        </w:tc>
        <w:tc>
          <w:tcPr>
            <w:tcW w:w="4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4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left"/>
              <w:rPr>
                <w:rFonts w:ascii="Times New Roman" w:hAnsi="Times New Roman" w:eastAsia="方正仿宋_GBK"/>
                <w:color w:val="000000"/>
                <w:sz w:val="24"/>
              </w:rPr>
            </w:pPr>
          </w:p>
        </w:tc>
        <w:tc>
          <w:tcPr>
            <w:tcW w:w="6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黑体"/>
                <w:color w:val="000000"/>
                <w:sz w:val="24"/>
              </w:rPr>
            </w:pPr>
          </w:p>
        </w:tc>
        <w:tc>
          <w:tcPr>
            <w:tcW w:w="7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黑体"/>
                <w:color w:val="000000"/>
                <w:sz w:val="24"/>
              </w:rPr>
            </w:pPr>
          </w:p>
        </w:tc>
        <w:tc>
          <w:tcPr>
            <w:tcW w:w="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6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widowControl/>
              <w:spacing w:line="320" w:lineRule="exact"/>
              <w:rPr>
                <w:rFonts w:ascii="Times New Roman" w:hAnsi="Times New Roman" w:eastAsia="黑体"/>
                <w:color w:val="000000"/>
                <w:sz w:val="24"/>
              </w:rPr>
            </w:pPr>
          </w:p>
        </w:tc>
        <w:tc>
          <w:tcPr>
            <w:tcW w:w="5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方正仿宋_GBK"/>
                <w:color w:val="000000"/>
                <w:sz w:val="24"/>
              </w:rPr>
            </w:pPr>
          </w:p>
        </w:tc>
        <w:tc>
          <w:tcPr>
            <w:tcW w:w="5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320" w:lineRule="exact"/>
              <w:jc w:val="center"/>
              <w:rPr>
                <w:rFonts w:ascii="Times New Roman" w:hAnsi="Times New Roman" w:eastAsia="黑体"/>
                <w:color w:val="000000"/>
                <w:sz w:val="24"/>
              </w:rPr>
            </w:pPr>
          </w:p>
        </w:tc>
      </w:tr>
      <w:tr>
        <w:tblPrEx>
          <w:tblLayout w:type="fixed"/>
          <w:tblCellMar>
            <w:top w:w="0" w:type="dxa"/>
            <w:left w:w="108" w:type="dxa"/>
            <w:bottom w:w="0" w:type="dxa"/>
            <w:right w:w="108" w:type="dxa"/>
          </w:tblCellMar>
        </w:tblPrEx>
        <w:trPr>
          <w:trHeight w:val="288" w:hRule="atLeast"/>
          <w:jc w:val="center"/>
        </w:trPr>
        <w:tc>
          <w:tcPr>
            <w:tcW w:w="14545" w:type="dxa"/>
            <w:gridSpan w:val="16"/>
            <w:tcBorders>
              <w:top w:val="nil"/>
              <w:left w:val="nil"/>
              <w:bottom w:val="nil"/>
              <w:right w:val="nil"/>
            </w:tcBorders>
            <w:vAlign w:val="center"/>
          </w:tcPr>
          <w:p>
            <w:pPr>
              <w:widowControl/>
              <w:spacing w:line="240" w:lineRule="exact"/>
              <w:jc w:val="left"/>
              <w:textAlignment w:val="center"/>
              <w:rPr>
                <w:rFonts w:ascii="Times New Roman" w:hAnsi="Times New Roman" w:eastAsia="方正仿宋_GBK"/>
                <w:color w:val="000000"/>
                <w:kern w:val="0"/>
                <w:szCs w:val="21"/>
              </w:rPr>
            </w:pPr>
            <w:r>
              <w:rPr>
                <w:rFonts w:ascii="Times New Roman" w:hAnsi="Times New Roman" w:eastAsia="方正仿宋_GBK"/>
                <w:color w:val="000000"/>
                <w:kern w:val="0"/>
                <w:szCs w:val="21"/>
              </w:rPr>
              <w:t>填表说明：</w:t>
            </w:r>
          </w:p>
          <w:p>
            <w:pPr>
              <w:widowControl/>
              <w:spacing w:line="240" w:lineRule="exact"/>
              <w:jc w:val="left"/>
              <w:textAlignment w:val="center"/>
              <w:rPr>
                <w:rFonts w:ascii="Times New Roman" w:hAnsi="Times New Roman" w:eastAsia="方正仿宋_GBK"/>
                <w:color w:val="000000"/>
                <w:kern w:val="0"/>
                <w:szCs w:val="21"/>
              </w:rPr>
            </w:pPr>
            <w:r>
              <w:rPr>
                <w:rFonts w:hint="eastAsia" w:ascii="Times New Roman" w:hAnsi="Times New Roman" w:eastAsia="方正仿宋_GBK"/>
                <w:color w:val="000000"/>
                <w:kern w:val="0"/>
                <w:szCs w:val="21"/>
              </w:rPr>
              <w:t>1.</w:t>
            </w:r>
            <w:r>
              <w:rPr>
                <w:rFonts w:ascii="Times New Roman" w:hAnsi="Times New Roman" w:eastAsia="方正仿宋_GBK"/>
                <w:color w:val="000000"/>
                <w:kern w:val="0"/>
                <w:szCs w:val="21"/>
              </w:rPr>
              <w:t>序号按照《云南清单》</w:t>
            </w:r>
            <w:r>
              <w:rPr>
                <w:rFonts w:hint="eastAsia" w:ascii="Times New Roman" w:hAnsi="Times New Roman" w:eastAsia="方正仿宋_GBK"/>
                <w:color w:val="000000"/>
                <w:kern w:val="0"/>
                <w:szCs w:val="21"/>
              </w:rPr>
              <w:t>中行政许可事项对应的</w:t>
            </w:r>
            <w:r>
              <w:rPr>
                <w:rFonts w:ascii="Times New Roman" w:hAnsi="Times New Roman" w:eastAsia="方正仿宋_GBK"/>
                <w:color w:val="000000"/>
                <w:kern w:val="0"/>
                <w:szCs w:val="21"/>
              </w:rPr>
              <w:t>序号填写；</w:t>
            </w:r>
            <w:r>
              <w:rPr>
                <w:rFonts w:ascii="Times New Roman" w:hAnsi="Times New Roman" w:eastAsia="方正仿宋_GBK"/>
                <w:color w:val="000000"/>
                <w:kern w:val="0"/>
                <w:szCs w:val="21"/>
              </w:rPr>
              <w:br w:type="textWrapping"/>
            </w:r>
            <w:r>
              <w:rPr>
                <w:rFonts w:ascii="Times New Roman" w:hAnsi="Times New Roman" w:eastAsia="方正仿宋_GBK"/>
                <w:color w:val="000000"/>
                <w:kern w:val="0"/>
                <w:szCs w:val="21"/>
              </w:rPr>
              <w:t>2.主管部门、主项、子项、办理项与省直有关部门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实施规范保持一致；</w:t>
            </w:r>
            <w:r>
              <w:rPr>
                <w:rFonts w:ascii="Times New Roman" w:hAnsi="Times New Roman" w:eastAsia="方正仿宋_GBK"/>
                <w:color w:val="000000"/>
                <w:kern w:val="0"/>
                <w:szCs w:val="21"/>
              </w:rPr>
              <w:br w:type="textWrapping"/>
            </w:r>
            <w:r>
              <w:rPr>
                <w:rFonts w:ascii="Times New Roman" w:hAnsi="Times New Roman" w:eastAsia="方正仿宋_GBK"/>
                <w:color w:val="000000"/>
                <w:kern w:val="0"/>
                <w:szCs w:val="21"/>
              </w:rPr>
              <w:t>3.实施机关按照省直有关部门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w:t>
            </w:r>
            <w:r>
              <w:rPr>
                <w:rFonts w:hint="eastAsia" w:ascii="Times New Roman" w:hAnsi="Times New Roman" w:eastAsia="方正仿宋_GBK"/>
                <w:color w:val="000000"/>
                <w:kern w:val="0"/>
                <w:szCs w:val="21"/>
              </w:rPr>
              <w:t>填报；</w:t>
            </w:r>
          </w:p>
          <w:p>
            <w:pPr>
              <w:widowControl/>
              <w:spacing w:line="240" w:lineRule="exact"/>
              <w:jc w:val="left"/>
              <w:textAlignment w:val="center"/>
              <w:rPr>
                <w:rFonts w:ascii="Times New Roman" w:hAnsi="Times New Roman" w:eastAsia="方正仿宋_GBK"/>
                <w:color w:val="000000"/>
                <w:kern w:val="0"/>
                <w:szCs w:val="21"/>
              </w:rPr>
            </w:pPr>
            <w:r>
              <w:rPr>
                <w:rFonts w:ascii="Times New Roman" w:hAnsi="Times New Roman" w:eastAsia="方正仿宋_GBK"/>
                <w:color w:val="000000"/>
                <w:kern w:val="0"/>
                <w:szCs w:val="21"/>
              </w:rPr>
              <w:t>4.设定和实施依据参照省直有关部门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实施规范填报，</w:t>
            </w:r>
            <w:r>
              <w:rPr>
                <w:rFonts w:ascii="Times New Roman" w:hAnsi="Times New Roman" w:eastAsia="方正仿宋_GBK"/>
                <w:b/>
                <w:bCs/>
                <w:color w:val="000000"/>
                <w:kern w:val="0"/>
                <w:szCs w:val="21"/>
              </w:rPr>
              <w:t>并列明具体条款和内容，涉及实施机关、审批范围、委托下放等内容加粗；</w:t>
            </w:r>
            <w:r>
              <w:rPr>
                <w:rFonts w:ascii="Times New Roman" w:hAnsi="Times New Roman" w:eastAsia="方正仿宋_GBK"/>
                <w:color w:val="000000"/>
                <w:kern w:val="0"/>
                <w:szCs w:val="21"/>
              </w:rPr>
              <w:br w:type="textWrapping"/>
            </w:r>
            <w:r>
              <w:rPr>
                <w:rFonts w:ascii="Times New Roman" w:hAnsi="Times New Roman" w:eastAsia="方正仿宋_GBK"/>
                <w:color w:val="000000"/>
                <w:kern w:val="0"/>
                <w:szCs w:val="21"/>
              </w:rPr>
              <w:t>5.改革方式按照省直有关部门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w:t>
            </w:r>
            <w:r>
              <w:rPr>
                <w:rFonts w:ascii="Times New Roman" w:hAnsi="Times New Roman" w:eastAsia="方正仿宋_GBK"/>
                <w:b/>
                <w:bCs/>
                <w:color w:val="000000"/>
                <w:kern w:val="0"/>
                <w:szCs w:val="21"/>
              </w:rPr>
              <w:t>填报</w:t>
            </w:r>
            <w:r>
              <w:rPr>
                <w:rStyle w:val="7"/>
                <w:rFonts w:hint="default" w:ascii="Times New Roman" w:hAnsi="Times New Roman" w:eastAsia="方正仿宋_GBK" w:cs="Times New Roman"/>
                <w:sz w:val="21"/>
                <w:szCs w:val="21"/>
              </w:rPr>
              <w:t>告知承诺、减材料、减程序、减时限等；</w:t>
            </w:r>
            <w:r>
              <w:rPr>
                <w:rStyle w:val="8"/>
                <w:rFonts w:hint="default" w:ascii="Times New Roman" w:hAnsi="Times New Roman" w:eastAsia="方正仿宋_GBK" w:cs="Times New Roman"/>
                <w:sz w:val="21"/>
                <w:szCs w:val="21"/>
              </w:rPr>
              <w:br w:type="textWrapping"/>
            </w:r>
            <w:r>
              <w:rPr>
                <w:rStyle w:val="8"/>
                <w:rFonts w:hint="default" w:ascii="Times New Roman" w:hAnsi="Times New Roman" w:eastAsia="方正仿宋_GBK" w:cs="Times New Roman"/>
                <w:sz w:val="21"/>
                <w:szCs w:val="21"/>
              </w:rPr>
              <w:t>6</w:t>
            </w:r>
            <w:r>
              <w:rPr>
                <w:rFonts w:ascii="Times New Roman" w:hAnsi="Times New Roman" w:eastAsia="方正仿宋_GBK"/>
                <w:color w:val="000000"/>
                <w:kern w:val="0"/>
                <w:szCs w:val="21"/>
              </w:rPr>
              <w:t>.是否涉企、</w:t>
            </w:r>
            <w:r>
              <w:rPr>
                <w:rStyle w:val="8"/>
                <w:rFonts w:hint="default" w:ascii="Times New Roman" w:hAnsi="Times New Roman" w:eastAsia="方正仿宋_GBK" w:cs="Times New Roman"/>
                <w:sz w:val="21"/>
                <w:szCs w:val="21"/>
              </w:rPr>
              <w:t>改革举措、中介服务事项名称、技术性服务事项名称、行政许可事项类型、审批结果类型、法定审批时限等</w:t>
            </w:r>
            <w:r>
              <w:rPr>
                <w:rFonts w:ascii="Times New Roman" w:hAnsi="Times New Roman" w:eastAsia="方正仿宋_GBK"/>
                <w:color w:val="000000"/>
                <w:kern w:val="0"/>
                <w:szCs w:val="21"/>
              </w:rPr>
              <w:t>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实施规范填报；</w:t>
            </w:r>
          </w:p>
          <w:p>
            <w:pPr>
              <w:widowControl/>
              <w:spacing w:line="240" w:lineRule="exact"/>
              <w:jc w:val="left"/>
              <w:textAlignment w:val="center"/>
              <w:rPr>
                <w:rFonts w:ascii="Times New Roman" w:hAnsi="Times New Roman" w:eastAsia="方正仿宋_GBK"/>
                <w:color w:val="000000"/>
                <w:sz w:val="24"/>
              </w:rPr>
            </w:pPr>
            <w:r>
              <w:rPr>
                <w:rStyle w:val="8"/>
                <w:rFonts w:hint="default" w:ascii="Times New Roman" w:hAnsi="Times New Roman" w:eastAsia="方正仿宋_GBK" w:cs="Times New Roman"/>
                <w:sz w:val="21"/>
                <w:szCs w:val="21"/>
              </w:rPr>
              <w:t>7.承诺审批时限</w:t>
            </w:r>
            <w:r>
              <w:rPr>
                <w:rFonts w:ascii="Times New Roman" w:hAnsi="Times New Roman" w:eastAsia="方正仿宋_GBK"/>
                <w:color w:val="000000"/>
                <w:kern w:val="0"/>
                <w:szCs w:val="21"/>
              </w:rPr>
              <w:t>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w:t>
            </w:r>
            <w:r>
              <w:rPr>
                <w:rFonts w:hint="eastAsia" w:ascii="Times New Roman" w:hAnsi="Times New Roman" w:eastAsia="方正仿宋_GBK"/>
                <w:color w:val="000000"/>
                <w:kern w:val="0"/>
                <w:szCs w:val="21"/>
              </w:rPr>
              <w:t>填报</w:t>
            </w:r>
            <w:r>
              <w:rPr>
                <w:rStyle w:val="8"/>
                <w:rFonts w:hint="default" w:ascii="Times New Roman" w:hAnsi="Times New Roman" w:eastAsia="方正仿宋_GBK" w:cs="Times New Roman"/>
                <w:sz w:val="21"/>
                <w:szCs w:val="21"/>
              </w:rPr>
              <w:t>，若改革方式有减时限的，承诺审批时限要与改革举措中的时间对应。</w:t>
            </w:r>
          </w:p>
        </w:tc>
      </w:tr>
    </w:tbl>
    <w:p>
      <w:pPr>
        <w:pStyle w:val="4"/>
        <w:wordWrap w:val="0"/>
        <w:adjustRightInd w:val="0"/>
        <w:snapToGrid w:val="0"/>
        <w:spacing w:line="600" w:lineRule="exact"/>
        <w:jc w:val="both"/>
        <w:rPr>
          <w:rFonts w:ascii="宋体" w:hAnsi="宋体" w:eastAsia="方正仿宋_GBK" w:cs="Nimbus Roman No9 L"/>
          <w:color w:val="000000"/>
          <w:sz w:val="30"/>
          <w:szCs w:val="30"/>
        </w:rPr>
        <w:sectPr>
          <w:pgSz w:w="16838" w:h="11906" w:orient="landscape"/>
          <w:pgMar w:top="1247" w:right="1247" w:bottom="1247" w:left="1247" w:header="851" w:footer="992" w:gutter="0"/>
          <w:cols w:space="720" w:num="1"/>
          <w:docGrid w:type="lines" w:linePitch="319"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Nimbus Roman No9 L">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NDdiNDE1ZDZlOTQxOWE2NzIyYTk5YTE1ZTU2NWUifQ=="/>
  </w:docVars>
  <w:rsids>
    <w:rsidRoot w:val="7C4F7CE5"/>
    <w:rsid w:val="00754F00"/>
    <w:rsid w:val="02BB4128"/>
    <w:rsid w:val="0B06495F"/>
    <w:rsid w:val="1A032D59"/>
    <w:rsid w:val="1F1640A6"/>
    <w:rsid w:val="31A93AE5"/>
    <w:rsid w:val="41075459"/>
    <w:rsid w:val="468D6047"/>
    <w:rsid w:val="48AB554A"/>
    <w:rsid w:val="4DF751FB"/>
    <w:rsid w:val="709E45C6"/>
    <w:rsid w:val="7673209A"/>
    <w:rsid w:val="77BC1C32"/>
    <w:rsid w:val="7C4F7CE5"/>
    <w:rsid w:val="7DEA0049"/>
    <w:rsid w:val="7F3F36C0"/>
    <w:rsid w:val="CF6F82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Normal Indent"/>
    <w:basedOn w:val="1"/>
    <w:qFormat/>
    <w:uiPriority w:val="0"/>
    <w:pPr>
      <w:ind w:firstLine="630"/>
    </w:pPr>
    <w:rPr>
      <w:rFonts w:eastAsia="仿宋_GB2312"/>
      <w:kern w:val="0"/>
      <w:sz w:val="32"/>
      <w:szCs w:val="32"/>
    </w:rPr>
  </w:style>
  <w:style w:type="character" w:customStyle="1" w:styleId="7">
    <w:name w:val="font51"/>
    <w:basedOn w:val="6"/>
    <w:qFormat/>
    <w:uiPriority w:val="0"/>
    <w:rPr>
      <w:rFonts w:hint="eastAsia" w:ascii="宋体" w:hAnsi="宋体" w:eastAsia="宋体" w:cs="宋体"/>
      <w:b/>
      <w:bCs/>
      <w:color w:val="000000"/>
      <w:sz w:val="22"/>
      <w:szCs w:val="22"/>
      <w:u w:val="none"/>
    </w:rPr>
  </w:style>
  <w:style w:type="character" w:customStyle="1" w:styleId="8">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云南省公安厅</Company>
  <Pages>33</Pages>
  <Words>12897</Words>
  <Characters>13191</Characters>
  <Lines>0</Lines>
  <Paragraphs>0</Paragraphs>
  <TotalTime>2</TotalTime>
  <ScaleCrop>false</ScaleCrop>
  <LinksUpToDate>false</LinksUpToDate>
  <CharactersWithSpaces>13432</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2023-09-28T19:35:00Z</dcterms:created>
  <dc:creator>法制处</dc:creator>
  <cp:lastModifiedBy>Administrator</cp:lastModifiedBy>
  <dcterms:modified xsi:type="dcterms:W3CDTF">2024-08-19T08:07:11Z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0326138356ED4D46BD5F191AB9E240FC</vt:lpwstr>
  </property>
</Properties>
</file>