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40" w:lineRule="exact"/>
        <w:outlineLvl w:val="0"/>
        <w:rPr>
          <w:rFonts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 w:ascii="宋体" w:hAnsi="宋体" w:eastAsia="黑体" w:cs="黑体"/>
          <w:color w:val="000000"/>
          <w:kern w:val="0"/>
          <w:sz w:val="30"/>
          <w:szCs w:val="30"/>
        </w:rPr>
        <w:t xml:space="preserve">附件1 </w:t>
      </w: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 xml:space="preserve">   </w:t>
      </w:r>
    </w:p>
    <w:p>
      <w:pPr>
        <w:spacing w:afterLines="50" w:line="540" w:lineRule="exact"/>
        <w:jc w:val="center"/>
        <w:outlineLvl w:val="0"/>
        <w:rPr>
          <w:rFonts w:ascii="宋体" w:hAnsi="宋体" w:eastAsia="方正小标宋_GBK" w:cs="方正小标宋_GBK"/>
          <w:color w:val="000000"/>
          <w:kern w:val="0"/>
          <w:sz w:val="40"/>
          <w:szCs w:val="40"/>
        </w:rPr>
      </w:pPr>
      <w:r>
        <w:rPr>
          <w:rFonts w:hint="eastAsia" w:ascii="宋体" w:hAnsi="宋体" w:eastAsia="方正小标宋_GBK" w:cs="方正小标宋_GBK"/>
          <w:color w:val="000000"/>
          <w:kern w:val="0"/>
          <w:sz w:val="40"/>
          <w:szCs w:val="40"/>
        </w:rPr>
        <w:t>行政许可事项实施规范编制说明</w:t>
      </w:r>
    </w:p>
    <w:p>
      <w:pPr>
        <w:spacing w:afterLines="50" w:line="540" w:lineRule="exact"/>
        <w:jc w:val="center"/>
        <w:outlineLvl w:val="0"/>
        <w:rPr>
          <w:rFonts w:ascii="方正小标宋_GBK" w:hAnsi="方正小标宋_GBK" w:eastAsia="方正小标宋_GBK" w:cs="方正小标宋_GBK"/>
          <w:sz w:val="30"/>
          <w:szCs w:val="30"/>
        </w:rPr>
      </w:pPr>
    </w:p>
    <w:p>
      <w:pPr>
        <w:spacing w:afterLines="50" w:line="540" w:lineRule="exact"/>
        <w:jc w:val="center"/>
        <w:outlineLvl w:val="0"/>
        <w:rPr>
          <w:rFonts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主项实施规范</w:t>
      </w:r>
    </w:p>
    <w:p>
      <w:pPr>
        <w:spacing w:afterLines="50" w:line="540" w:lineRule="exact"/>
        <w:jc w:val="center"/>
        <w:outlineLvl w:val="0"/>
        <w:rPr>
          <w:rFonts w:ascii="宋体" w:hAnsi="宋体" w:cs="宋体"/>
          <w:color w:val="FF0000"/>
          <w:sz w:val="30"/>
          <w:szCs w:val="30"/>
        </w:rPr>
      </w:pPr>
      <w:r>
        <w:rPr>
          <w:rFonts w:hint="eastAsia" w:ascii="方正楷体_GBK" w:hAnsi="方正楷体_GBK" w:eastAsia="方正楷体_GBK" w:cs="方正楷体_GBK"/>
          <w:sz w:val="30"/>
          <w:szCs w:val="30"/>
        </w:rPr>
        <w:t>（基本要素）</w:t>
      </w:r>
    </w:p>
    <w:p>
      <w:pPr>
        <w:numPr>
          <w:ilvl w:val="0"/>
          <w:numId w:val="1"/>
        </w:num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行政许可事项名称：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非机动</w:t>
      </w:r>
      <w:r>
        <w:rPr>
          <w:rFonts w:ascii="方正仿宋_GBK" w:hAnsi="方正仿宋_GBK" w:eastAsia="方正仿宋_GBK" w:cs="方正仿宋_GBK"/>
          <w:sz w:val="30"/>
          <w:szCs w:val="30"/>
        </w:rPr>
        <w:t>车注册登记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二、审批</w:t>
      </w:r>
      <w:r>
        <w:rPr>
          <w:rFonts w:hint="eastAsia" w:ascii="Times New Roman" w:hAnsi="Times New Roman" w:eastAsia="黑体"/>
          <w:sz w:val="30"/>
          <w:szCs w:val="30"/>
        </w:rPr>
        <w:t>主管部门：</w:t>
      </w:r>
    </w:p>
    <w:p>
      <w:pPr>
        <w:spacing w:line="540" w:lineRule="exact"/>
        <w:ind w:firstLine="600" w:firstLineChars="200"/>
        <w:outlineLvl w:val="1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云南省迪庆州公安局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三、实施机关：</w:t>
      </w:r>
    </w:p>
    <w:p>
      <w:pPr>
        <w:spacing w:line="540" w:lineRule="exact"/>
        <w:ind w:firstLine="600" w:firstLineChars="200"/>
        <w:outlineLvl w:val="1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香格里拉市公安局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四、设定和实施依据：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《中华人民共和国道路交通安全法》</w:t>
      </w:r>
    </w:p>
    <w:p>
      <w:pPr>
        <w:spacing w:line="540" w:lineRule="exact"/>
        <w:ind w:firstLine="600" w:firstLineChars="200"/>
        <w:outlineLvl w:val="1"/>
        <w:rPr>
          <w:rFonts w:ascii="Times New Roman" w:hAnsi="Times New Roman" w:eastAsia="黑体"/>
          <w:sz w:val="30"/>
          <w:szCs w:val="30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0"/>
          <w:szCs w:val="30"/>
        </w:rPr>
        <w:t>《云南省电动自行车管理规定》（云南省人民政府令第182号）</w:t>
      </w:r>
      <w:r>
        <w:rPr>
          <w:rFonts w:hint="eastAsia" w:ascii="Times New Roman" w:hAnsi="Times New Roman" w:eastAsia="黑体"/>
          <w:sz w:val="30"/>
          <w:szCs w:val="30"/>
        </w:rPr>
        <w:t>五、子项：</w:t>
      </w:r>
    </w:p>
    <w:p>
      <w:pPr>
        <w:spacing w:line="540" w:lineRule="exact"/>
        <w:ind w:firstLine="600" w:firstLineChars="200"/>
        <w:rPr>
          <w:rFonts w:ascii="Times New Roman" w:hAnsi="Times New Roman" w:eastAsia="仿宋GB2312"/>
          <w:sz w:val="30"/>
          <w:szCs w:val="30"/>
        </w:rPr>
      </w:pPr>
      <w:r>
        <w:rPr>
          <w:rFonts w:hint="eastAsia" w:ascii="宋体" w:hAnsi="宋体" w:eastAsia="方正仿宋_GBK" w:cs="Nimbus Roman No9 L"/>
          <w:color w:val="000000"/>
          <w:sz w:val="30"/>
          <w:szCs w:val="30"/>
        </w:rPr>
        <w:t>电动自行车变更登记,电动自行车注销登记,电动自行车转入登记,电动自行车转移登记</w:t>
      </w:r>
    </w:p>
    <w:p>
      <w:pPr>
        <w:pStyle w:val="2"/>
        <w:rPr>
          <w:sz w:val="30"/>
          <w:szCs w:val="30"/>
        </w:rPr>
      </w:pPr>
    </w:p>
    <w:p>
      <w:pPr>
        <w:pStyle w:val="3"/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pStyle w:val="3"/>
        <w:ind w:left="0"/>
      </w:pPr>
    </w:p>
    <w:p/>
    <w:p>
      <w:pPr>
        <w:spacing w:line="540" w:lineRule="exact"/>
        <w:jc w:val="center"/>
        <w:outlineLvl w:val="1"/>
        <w:rPr>
          <w:rFonts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子项、办理项实施规范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一、基本要素</w:t>
      </w:r>
    </w:p>
    <w:p>
      <w:pPr>
        <w:spacing w:line="540" w:lineRule="exact"/>
        <w:ind w:firstLine="602" w:firstLineChars="200"/>
        <w:outlineLvl w:val="2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1.</w:t>
      </w:r>
      <w:r>
        <w:rPr>
          <w:rFonts w:ascii="Times New Roman" w:hAnsi="Times New Roman" w:eastAsia="仿宋GB2312"/>
          <w:b/>
          <w:bCs/>
          <w:sz w:val="30"/>
          <w:szCs w:val="30"/>
        </w:rPr>
        <w:t>行政许可事项名称</w:t>
      </w:r>
      <w:r>
        <w:rPr>
          <w:rFonts w:hint="eastAsia" w:ascii="Times New Roman" w:hAnsi="Times New Roman" w:eastAsia="仿宋GB2312"/>
          <w:b/>
          <w:bCs/>
          <w:sz w:val="30"/>
          <w:szCs w:val="30"/>
        </w:rPr>
        <w:t>及编码</w:t>
      </w:r>
    </w:p>
    <w:p>
      <w:pPr>
        <w:spacing w:line="540" w:lineRule="exact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非机动</w:t>
      </w:r>
      <w:r>
        <w:rPr>
          <w:rFonts w:ascii="方正仿宋_GBK" w:hAnsi="方正仿宋_GBK" w:eastAsia="方正仿宋_GBK" w:cs="方正仿宋_GBK"/>
          <w:sz w:val="30"/>
          <w:szCs w:val="30"/>
        </w:rPr>
        <w:t>车注册登记</w:t>
      </w:r>
    </w:p>
    <w:p>
      <w:pPr>
        <w:spacing w:line="540" w:lineRule="exact"/>
        <w:ind w:firstLine="602" w:firstLineChars="200"/>
        <w:outlineLvl w:val="2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2.</w:t>
      </w:r>
      <w:r>
        <w:rPr>
          <w:rFonts w:ascii="Times New Roman" w:hAnsi="Times New Roman" w:eastAsia="仿宋GB2312"/>
          <w:b/>
          <w:bCs/>
          <w:sz w:val="30"/>
          <w:szCs w:val="30"/>
        </w:rPr>
        <w:t>行政许可</w:t>
      </w:r>
      <w:r>
        <w:rPr>
          <w:rFonts w:hint="eastAsia" w:ascii="Times New Roman" w:hAnsi="Times New Roman" w:eastAsia="仿宋GB2312"/>
          <w:b/>
          <w:bCs/>
          <w:sz w:val="30"/>
          <w:szCs w:val="30"/>
        </w:rPr>
        <w:t>事项子项名称及编码</w:t>
      </w:r>
    </w:p>
    <w:p>
      <w:pPr>
        <w:spacing w:line="540" w:lineRule="exact"/>
        <w:ind w:firstLine="600" w:firstLineChars="200"/>
        <w:rPr>
          <w:rFonts w:ascii="Times New Roman" w:hAnsi="Times New Roman" w:eastAsia="仿宋GB2312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电动自行车注册登记,</w:t>
      </w:r>
      <w:r>
        <w:rPr>
          <w:rFonts w:hint="eastAsia" w:ascii="宋体" w:hAnsi="宋体" w:eastAsia="方正仿宋_GBK" w:cs="Nimbus Roman No9 L"/>
          <w:color w:val="000000"/>
          <w:sz w:val="30"/>
          <w:szCs w:val="30"/>
        </w:rPr>
        <w:t>电动自行车变更登记,电动自行车注销登记,电动自行车转入登记,电动自行车转移登记</w:t>
      </w:r>
    </w:p>
    <w:p>
      <w:pPr>
        <w:spacing w:line="540" w:lineRule="exact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Times New Roman" w:hAnsi="Times New Roman" w:eastAsia="方正仿宋_GBK"/>
          <w:sz w:val="30"/>
          <w:szCs w:val="30"/>
        </w:rPr>
      </w:pPr>
      <w:r>
        <w:rPr>
          <w:rFonts w:hint="eastAsia" w:ascii="宋体" w:hAnsi="宋体" w:eastAsia="方正仿宋_GBK" w:cs="Nimbus Roman No9 L"/>
          <w:color w:val="000000"/>
          <w:sz w:val="30"/>
          <w:szCs w:val="30"/>
        </w:rPr>
        <w:t>编码：云R00200-云R00600</w:t>
      </w:r>
    </w:p>
    <w:p>
      <w:pPr>
        <w:spacing w:line="540" w:lineRule="exact"/>
        <w:ind w:firstLine="602" w:firstLineChars="200"/>
        <w:outlineLvl w:val="2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3.行政许可事项业务办理项名称及编码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与国务院部门行政许可事项实施规范保持一致。</w:t>
      </w:r>
    </w:p>
    <w:p>
      <w:pPr>
        <w:spacing w:line="540" w:lineRule="exact"/>
        <w:ind w:firstLine="602" w:firstLineChars="200"/>
        <w:outlineLvl w:val="2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4.设定依据</w:t>
      </w:r>
    </w:p>
    <w:p>
      <w:pPr>
        <w:spacing w:line="540" w:lineRule="exact"/>
        <w:outlineLvl w:val="2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《中华人民共和国道路交通安全法》</w:t>
      </w:r>
    </w:p>
    <w:p>
      <w:pPr>
        <w:spacing w:line="540" w:lineRule="exact"/>
        <w:outlineLvl w:val="2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《云南省电动自行车管理规定》（云南省人民政府令第184号）</w:t>
      </w:r>
    </w:p>
    <w:p>
      <w:pPr>
        <w:spacing w:line="540" w:lineRule="exact"/>
        <w:ind w:firstLine="602" w:firstLineChars="200"/>
        <w:outlineLvl w:val="2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5.实施依据</w:t>
      </w:r>
    </w:p>
    <w:p>
      <w:pPr>
        <w:spacing w:line="540" w:lineRule="exact"/>
        <w:outlineLvl w:val="2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《中华人民共和国道路交通安全法》</w:t>
      </w:r>
    </w:p>
    <w:p>
      <w:pPr>
        <w:spacing w:line="540" w:lineRule="exact"/>
        <w:outlineLvl w:val="2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《云南省电动自行车管理规定》（云南省人民政府令第184号）</w:t>
      </w:r>
    </w:p>
    <w:p>
      <w:pPr>
        <w:numPr>
          <w:ilvl w:val="0"/>
          <w:numId w:val="2"/>
        </w:numPr>
        <w:spacing w:line="540" w:lineRule="exact"/>
        <w:ind w:firstLine="602" w:firstLineChars="200"/>
        <w:outlineLvl w:val="2"/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监管依据</w:t>
      </w:r>
    </w:p>
    <w:p>
      <w:pPr>
        <w:pStyle w:val="2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《中华人民共和国道路交通安全法》</w:t>
      </w:r>
    </w:p>
    <w:p>
      <w:pPr>
        <w:pStyle w:val="2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《云南省电动自行车管理规定》（云南省人民政府令第184号）</w:t>
      </w:r>
    </w:p>
    <w:p>
      <w:pPr>
        <w:numPr>
          <w:ilvl w:val="0"/>
          <w:numId w:val="3"/>
        </w:numPr>
        <w:spacing w:line="540" w:lineRule="exact"/>
        <w:ind w:firstLine="602" w:firstLineChars="200"/>
        <w:outlineLvl w:val="1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ascii="Times New Roman" w:hAnsi="Times New Roman" w:eastAsia="仿宋GB2312"/>
          <w:b/>
          <w:bCs/>
          <w:sz w:val="30"/>
          <w:szCs w:val="30"/>
        </w:rPr>
        <w:t>实施机关</w:t>
      </w:r>
    </w:p>
    <w:p>
      <w:pPr>
        <w:spacing w:line="540" w:lineRule="exact"/>
        <w:ind w:firstLine="600" w:firstLineChars="200"/>
        <w:outlineLvl w:val="2"/>
        <w:rPr>
          <w:rFonts w:ascii="Times New Roman" w:hAnsi="Times New Roman" w:eastAsia="仿宋GB2312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香格里拉市公安局。</w:t>
      </w:r>
    </w:p>
    <w:p>
      <w:pPr>
        <w:numPr>
          <w:ilvl w:val="0"/>
          <w:numId w:val="3"/>
        </w:numPr>
        <w:spacing w:line="540" w:lineRule="exact"/>
        <w:ind w:firstLine="602" w:firstLineChars="200"/>
        <w:outlineLvl w:val="1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ascii="Times New Roman" w:hAnsi="Times New Roman" w:eastAsia="仿宋GB2312"/>
          <w:b/>
          <w:bCs/>
          <w:sz w:val="30"/>
          <w:szCs w:val="30"/>
        </w:rPr>
        <w:t>审批层级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县级。</w:t>
      </w:r>
    </w:p>
    <w:p>
      <w:pPr>
        <w:numPr>
          <w:ilvl w:val="0"/>
          <w:numId w:val="3"/>
        </w:numPr>
        <w:spacing w:line="540" w:lineRule="exact"/>
        <w:ind w:firstLine="602" w:firstLineChars="200"/>
        <w:outlineLvl w:val="1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行使</w:t>
      </w:r>
      <w:r>
        <w:rPr>
          <w:rFonts w:ascii="Times New Roman" w:hAnsi="Times New Roman" w:eastAsia="仿宋GB2312"/>
          <w:b/>
          <w:bCs/>
          <w:sz w:val="30"/>
          <w:szCs w:val="30"/>
        </w:rPr>
        <w:t>层级</w:t>
      </w:r>
    </w:p>
    <w:p>
      <w:pPr>
        <w:spacing w:line="540" w:lineRule="exact"/>
        <w:ind w:firstLine="600" w:firstLineChars="200"/>
        <w:outlineLvl w:val="1"/>
        <w:rPr>
          <w:rFonts w:ascii="Times New Roman" w:hAnsi="Times New Roman" w:eastAsia="仿宋GB2312"/>
          <w:color w:val="FF000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县级。</w:t>
      </w:r>
    </w:p>
    <w:p>
      <w:pPr>
        <w:spacing w:line="600" w:lineRule="exact"/>
        <w:ind w:firstLine="602" w:firstLineChars="200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10.</w:t>
      </w:r>
      <w:r>
        <w:rPr>
          <w:rFonts w:ascii="Times New Roman" w:hAnsi="Times New Roman" w:eastAsia="仿宋GB2312"/>
          <w:b/>
          <w:bCs/>
          <w:sz w:val="30"/>
          <w:szCs w:val="30"/>
        </w:rPr>
        <w:t>是否由审批机关受理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是。</w:t>
      </w:r>
    </w:p>
    <w:p>
      <w:pPr>
        <w:spacing w:line="600" w:lineRule="exact"/>
        <w:ind w:firstLine="602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11.</w:t>
      </w:r>
      <w:r>
        <w:rPr>
          <w:rFonts w:ascii="Times New Roman" w:hAnsi="Times New Roman" w:eastAsia="仿宋GB2312"/>
          <w:b/>
          <w:bCs/>
          <w:sz w:val="30"/>
          <w:szCs w:val="30"/>
        </w:rPr>
        <w:t>受理层级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县级。</w:t>
      </w:r>
    </w:p>
    <w:p>
      <w:pPr>
        <w:spacing w:line="600" w:lineRule="exact"/>
        <w:ind w:firstLine="602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12.</w:t>
      </w:r>
      <w:r>
        <w:rPr>
          <w:rFonts w:ascii="Times New Roman" w:hAnsi="Times New Roman" w:eastAsia="仿宋GB2312"/>
          <w:b/>
          <w:bCs/>
          <w:sz w:val="30"/>
          <w:szCs w:val="30"/>
        </w:rPr>
        <w:t>是否存在初审环节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否。</w:t>
      </w:r>
    </w:p>
    <w:p>
      <w:pPr>
        <w:spacing w:line="600" w:lineRule="exact"/>
        <w:ind w:firstLine="602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13.</w:t>
      </w:r>
      <w:r>
        <w:rPr>
          <w:rFonts w:ascii="Times New Roman" w:hAnsi="Times New Roman" w:eastAsia="仿宋GB2312"/>
          <w:b/>
          <w:bCs/>
          <w:sz w:val="30"/>
          <w:szCs w:val="30"/>
        </w:rPr>
        <w:t>初审层级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无。</w:t>
      </w:r>
    </w:p>
    <w:p>
      <w:pPr>
        <w:spacing w:line="600" w:lineRule="exact"/>
        <w:ind w:firstLine="602" w:firstLineChars="200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14.</w:t>
      </w:r>
      <w:r>
        <w:rPr>
          <w:rFonts w:ascii="Times New Roman" w:hAnsi="Times New Roman" w:eastAsia="仿宋GB2312"/>
          <w:b/>
          <w:bCs/>
          <w:sz w:val="30"/>
          <w:szCs w:val="30"/>
        </w:rPr>
        <w:t>对应政务服务事项国家级基本目录名称</w:t>
      </w:r>
    </w:p>
    <w:p>
      <w:pPr>
        <w:spacing w:line="600" w:lineRule="exact"/>
        <w:ind w:firstLine="600" w:firstLineChars="200"/>
        <w:rPr>
          <w:rFonts w:ascii="宋体" w:hAnsi="宋体" w:eastAsia="方正仿宋_GBK" w:cs="Nimbus Roman No9 L"/>
          <w:color w:val="000000"/>
          <w:sz w:val="30"/>
          <w:szCs w:val="30"/>
        </w:rPr>
      </w:pPr>
      <w:r>
        <w:rPr>
          <w:rFonts w:hint="eastAsia" w:ascii="宋体" w:hAnsi="宋体" w:eastAsia="方正仿宋_GBK" w:cs="Nimbus Roman No9 L"/>
          <w:color w:val="000000"/>
          <w:sz w:val="30"/>
          <w:szCs w:val="30"/>
        </w:rPr>
        <w:t>电动自行车注册登记</w:t>
      </w:r>
    </w:p>
    <w:p>
      <w:pPr>
        <w:spacing w:line="600" w:lineRule="exact"/>
        <w:ind w:firstLine="602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15.要素统一情况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宋体" w:hAnsi="宋体" w:eastAsia="方正仿宋_GBK" w:cs="Nimbus Roman No9 L"/>
          <w:color w:val="000000"/>
          <w:sz w:val="30"/>
          <w:szCs w:val="30"/>
        </w:rPr>
        <w:t>部分要素全国统一。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二、行政许可事项类型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条件型。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三、行政许可条件</w:t>
      </w:r>
    </w:p>
    <w:p>
      <w:pPr>
        <w:spacing w:line="540" w:lineRule="exact"/>
        <w:ind w:firstLine="602" w:firstLineChars="200"/>
        <w:outlineLvl w:val="2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1.准予行政许可的条件</w:t>
      </w:r>
    </w:p>
    <w:p>
      <w:pPr>
        <w:pStyle w:val="2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《中华人民共和国道路交通安全法》</w:t>
      </w:r>
    </w:p>
    <w:p>
      <w:pPr>
        <w:pStyle w:val="2"/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《云南省电动自行车管理规定》（云南省人民政府令第184号）</w:t>
      </w:r>
    </w:p>
    <w:p>
      <w:pPr>
        <w:numPr>
          <w:ilvl w:val="0"/>
          <w:numId w:val="4"/>
        </w:numPr>
        <w:spacing w:line="540" w:lineRule="exact"/>
        <w:ind w:firstLine="602" w:firstLineChars="200"/>
        <w:outlineLvl w:val="2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ascii="Times New Roman" w:hAnsi="Times New Roman" w:eastAsia="仿宋GB2312"/>
          <w:b/>
          <w:bCs/>
          <w:sz w:val="30"/>
          <w:szCs w:val="30"/>
        </w:rPr>
        <w:t>规定行政许可条件的依据</w:t>
      </w:r>
    </w:p>
    <w:p>
      <w:pPr>
        <w:pStyle w:val="2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《中华人民共和国道路交通安全法》</w:t>
      </w:r>
    </w:p>
    <w:p>
      <w:pPr>
        <w:pStyle w:val="2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《云南省电动自行车管理规定》（云南省人民政府令第184号）</w:t>
      </w:r>
    </w:p>
    <w:p>
      <w:pPr>
        <w:pStyle w:val="2"/>
      </w:pP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四、</w:t>
      </w:r>
      <w:r>
        <w:rPr>
          <w:rFonts w:ascii="Times New Roman" w:hAnsi="Times New Roman" w:eastAsia="黑体"/>
          <w:sz w:val="30"/>
          <w:szCs w:val="30"/>
        </w:rPr>
        <w:t>行政许可服务对象类型</w:t>
      </w:r>
      <w:r>
        <w:rPr>
          <w:rFonts w:hint="eastAsia" w:ascii="Times New Roman" w:hAnsi="Times New Roman" w:eastAsia="黑体"/>
          <w:sz w:val="30"/>
          <w:szCs w:val="30"/>
        </w:rPr>
        <w:t>与改革举措</w:t>
      </w:r>
    </w:p>
    <w:p>
      <w:pPr>
        <w:spacing w:line="600" w:lineRule="exact"/>
        <w:ind w:firstLine="602" w:firstLineChars="200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1.服务对象类型</w:t>
      </w:r>
    </w:p>
    <w:p>
      <w:pPr>
        <w:spacing w:line="540" w:lineRule="exact"/>
        <w:ind w:firstLine="600" w:firstLineChars="200"/>
        <w:outlineLvl w:val="1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“自然人”“公司法人代表”。</w:t>
      </w:r>
    </w:p>
    <w:p>
      <w:pPr>
        <w:spacing w:line="600" w:lineRule="exact"/>
        <w:ind w:firstLine="602" w:firstLineChars="200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2.是否为涉企许可事项</w:t>
      </w:r>
    </w:p>
    <w:p>
      <w:pPr>
        <w:spacing w:line="540" w:lineRule="exact"/>
        <w:ind w:firstLine="600" w:firstLineChars="200"/>
        <w:outlineLvl w:val="1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与国务院部门行政许可事项实施规范保持一致。</w:t>
      </w:r>
    </w:p>
    <w:p>
      <w:pPr>
        <w:numPr>
          <w:ilvl w:val="0"/>
          <w:numId w:val="4"/>
        </w:numPr>
        <w:spacing w:line="600" w:lineRule="exact"/>
        <w:ind w:firstLine="602" w:firstLineChars="200"/>
        <w:rPr>
          <w:rFonts w:ascii="Times New Roman" w:hAnsi="Times New Roman" w:eastAsia="仿宋GB2312"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涉企经营许可事项名称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否。</w:t>
      </w:r>
    </w:p>
    <w:p>
      <w:pPr>
        <w:numPr>
          <w:ilvl w:val="0"/>
          <w:numId w:val="4"/>
        </w:numPr>
        <w:spacing w:line="600" w:lineRule="exact"/>
        <w:ind w:firstLine="602" w:firstLineChars="200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许可证件名称</w:t>
      </w:r>
    </w:p>
    <w:p>
      <w:pPr>
        <w:spacing w:line="540" w:lineRule="exact"/>
        <w:ind w:firstLine="600" w:firstLineChars="200"/>
        <w:outlineLvl w:val="1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无。</w:t>
      </w:r>
    </w:p>
    <w:p>
      <w:pPr>
        <w:numPr>
          <w:ilvl w:val="0"/>
          <w:numId w:val="4"/>
        </w:numPr>
        <w:spacing w:line="600" w:lineRule="exact"/>
        <w:ind w:firstLine="602" w:firstLineChars="200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改革方式</w:t>
      </w:r>
    </w:p>
    <w:p>
      <w:pPr>
        <w:spacing w:line="540" w:lineRule="exact"/>
        <w:ind w:firstLine="600" w:firstLineChars="200"/>
        <w:outlineLvl w:val="2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无</w:t>
      </w:r>
      <w:r>
        <w:rPr>
          <w:rFonts w:hint="eastAsia" w:ascii="宋体" w:hAnsi="宋体" w:eastAsia="方正仿宋_GBK" w:cs="Nimbus Roman No9 L"/>
          <w:color w:val="000000"/>
          <w:sz w:val="30"/>
          <w:szCs w:val="30"/>
        </w:rPr>
        <w:t>。</w:t>
      </w:r>
    </w:p>
    <w:p>
      <w:pPr>
        <w:spacing w:line="540" w:lineRule="exact"/>
        <w:ind w:firstLine="602" w:firstLineChars="200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6.具体改革举措</w:t>
      </w:r>
    </w:p>
    <w:p>
      <w:pPr>
        <w:spacing w:line="540" w:lineRule="exact"/>
        <w:ind w:firstLine="600" w:firstLineChars="200"/>
        <w:rPr>
          <w:rFonts w:ascii="宋体" w:hAnsi="宋体" w:eastAsia="方正仿宋_GBK" w:cs="Nimbus Roman No9 L"/>
          <w:color w:val="00000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无</w:t>
      </w:r>
      <w:r>
        <w:rPr>
          <w:rFonts w:hint="eastAsia" w:ascii="宋体" w:hAnsi="宋体" w:eastAsia="方正仿宋_GBK" w:cs="Nimbus Roman No9 L"/>
          <w:color w:val="000000"/>
          <w:sz w:val="30"/>
          <w:szCs w:val="30"/>
        </w:rPr>
        <w:t>。</w:t>
      </w:r>
    </w:p>
    <w:p>
      <w:pPr>
        <w:spacing w:line="540" w:lineRule="exact"/>
        <w:ind w:firstLine="602" w:firstLineChars="200"/>
        <w:rPr>
          <w:rFonts w:ascii="Times New Roman" w:hAnsi="Times New Roman" w:eastAsia="仿宋GB2312"/>
          <w:b/>
          <w:bCs/>
          <w:sz w:val="30"/>
          <w:szCs w:val="30"/>
        </w:rPr>
      </w:pPr>
      <w:r>
        <w:rPr>
          <w:rFonts w:hint="eastAsia" w:ascii="Times New Roman" w:hAnsi="Times New Roman" w:eastAsia="仿宋GB2312"/>
          <w:b/>
          <w:bCs/>
          <w:sz w:val="30"/>
          <w:szCs w:val="30"/>
        </w:rPr>
        <w:t>7.加强事中事后监管措施</w:t>
      </w:r>
    </w:p>
    <w:p>
      <w:pPr>
        <w:spacing w:line="54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与国务院部门行政许可事项实施规范保持一致。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五、申请材料</w:t>
      </w:r>
    </w:p>
    <w:p>
      <w:pPr>
        <w:spacing w:line="600" w:lineRule="exact"/>
        <w:ind w:firstLine="640" w:firstLineChars="200"/>
        <w:rPr>
          <w:rFonts w:ascii="宋体" w:hAnsi="宋体" w:eastAsia="方正仿宋_GBK" w:cs="Nimbus Roman No9 L"/>
          <w:color w:val="000000"/>
          <w:kern w:val="0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Cs/>
          <w:color w:val="222222"/>
          <w:sz w:val="32"/>
          <w:szCs w:val="32"/>
          <w:shd w:val="clear" w:color="auto" w:fill="FFFFFF"/>
        </w:rPr>
        <w:t>1、个人持车辆合格证、商业发票、本人身份证等材料到城市交警大队进行电动自行车落户</w:t>
      </w:r>
      <w:r>
        <w:rPr>
          <w:rFonts w:hint="eastAsia" w:ascii="宋体" w:hAnsi="宋体" w:eastAsia="方正仿宋_GBK" w:cs="Nimbus Roman No9 L"/>
          <w:color w:val="000000"/>
          <w:kern w:val="0"/>
          <w:sz w:val="30"/>
          <w:szCs w:val="30"/>
        </w:rPr>
        <w:t>。</w:t>
      </w:r>
    </w:p>
    <w:p>
      <w:pPr>
        <w:spacing w:line="600" w:lineRule="exact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六、中介服务</w:t>
      </w:r>
    </w:p>
    <w:p>
      <w:pPr>
        <w:spacing w:line="54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无。</w:t>
      </w:r>
    </w:p>
    <w:p>
      <w:pPr>
        <w:numPr>
          <w:ilvl w:val="0"/>
          <w:numId w:val="5"/>
        </w:num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审批程序</w:t>
      </w:r>
    </w:p>
    <w:p>
      <w:pPr>
        <w:pStyle w:val="2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查验，称重--人工审批--制证--发放号牌</w:t>
      </w:r>
    </w:p>
    <w:p>
      <w:pPr>
        <w:numPr>
          <w:ilvl w:val="0"/>
          <w:numId w:val="5"/>
        </w:numPr>
        <w:spacing w:line="540" w:lineRule="exact"/>
        <w:outlineLvl w:val="1"/>
      </w:pPr>
      <w:r>
        <w:rPr>
          <w:rFonts w:hint="eastAsia" w:ascii="Times New Roman" w:hAnsi="Times New Roman" w:eastAsia="黑体"/>
          <w:sz w:val="30"/>
          <w:szCs w:val="30"/>
        </w:rPr>
        <w:t>受理和审批时限</w:t>
      </w:r>
    </w:p>
    <w:p>
      <w:pPr>
        <w:pStyle w:val="2"/>
        <w:rPr>
          <w:rFonts w:eastAsia="黑体"/>
        </w:rPr>
      </w:pPr>
      <w:r>
        <w:rPr>
          <w:rFonts w:hint="eastAsia" w:ascii="Times New Roman" w:hAnsi="Times New Roman" w:eastAsia="黑体"/>
          <w:sz w:val="30"/>
          <w:szCs w:val="30"/>
        </w:rPr>
        <w:t>一个工作日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九、收费</w:t>
      </w:r>
    </w:p>
    <w:p>
      <w:pPr>
        <w:spacing w:line="54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无。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十、行政许可证件</w:t>
      </w:r>
    </w:p>
    <w:p>
      <w:pPr>
        <w:spacing w:line="54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无。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十一、行政许可数量限制</w:t>
      </w:r>
    </w:p>
    <w:p>
      <w:pPr>
        <w:spacing w:line="54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无。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十二、行政许可后年检</w:t>
      </w:r>
    </w:p>
    <w:p>
      <w:pPr>
        <w:spacing w:line="540" w:lineRule="exact"/>
        <w:ind w:firstLine="600" w:firstLineChars="200"/>
        <w:rPr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无。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十三、行政许可后年报</w:t>
      </w:r>
    </w:p>
    <w:p>
      <w:pPr>
        <w:spacing w:line="540" w:lineRule="exact"/>
        <w:ind w:firstLine="600" w:firstLineChars="200"/>
        <w:rPr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无。</w:t>
      </w:r>
    </w:p>
    <w:p>
      <w:p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十四、监管主体</w:t>
      </w:r>
    </w:p>
    <w:p>
      <w:pPr>
        <w:spacing w:line="540" w:lineRule="exact"/>
        <w:ind w:firstLine="600" w:firstLineChars="200"/>
        <w:rPr>
          <w:rFonts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与国务院部门行政许可事项实施规范保持一致。</w:t>
      </w:r>
    </w:p>
    <w:p>
      <w:pPr>
        <w:numPr>
          <w:ilvl w:val="0"/>
          <w:numId w:val="6"/>
        </w:numPr>
        <w:spacing w:line="540" w:lineRule="exact"/>
        <w:outlineLvl w:val="1"/>
        <w:rPr>
          <w:rFonts w:ascii="Times New Roman" w:hAnsi="Times New Roman" w:eastAsia="黑体"/>
          <w:sz w:val="30"/>
          <w:szCs w:val="30"/>
        </w:rPr>
      </w:pPr>
      <w:r>
        <w:rPr>
          <w:rFonts w:hint="eastAsia" w:ascii="Times New Roman" w:hAnsi="Times New Roman" w:eastAsia="黑体"/>
          <w:sz w:val="30"/>
          <w:szCs w:val="30"/>
        </w:rPr>
        <w:t>备注</w:t>
      </w:r>
    </w:p>
    <w:p>
      <w:pPr>
        <w:spacing w:line="540" w:lineRule="exact"/>
        <w:ind w:firstLine="600" w:firstLineChars="200"/>
        <w:rPr>
          <w:rFonts w:ascii="Times New Roman" w:hAnsi="Times New Roman" w:eastAsia="方正仿宋_GBK"/>
          <w:sz w:val="30"/>
          <w:szCs w:val="30"/>
        </w:rPr>
      </w:pPr>
      <w:r>
        <w:rPr>
          <w:rFonts w:hint="eastAsia" w:ascii="Times New Roman" w:hAnsi="Times New Roman" w:eastAsia="方正仿宋_GBK"/>
          <w:sz w:val="30"/>
          <w:szCs w:val="30"/>
        </w:rPr>
        <w:t>无</w:t>
      </w:r>
      <w:r>
        <w:rPr>
          <w:rFonts w:ascii="Times New Roman" w:hAnsi="Times New Roman" w:eastAsia="方正仿宋_GBK"/>
          <w:sz w:val="30"/>
          <w:szCs w:val="30"/>
        </w:rPr>
        <w:t>。</w:t>
      </w:r>
    </w:p>
    <w:p>
      <w:pPr>
        <w:pStyle w:val="4"/>
        <w:wordWrap w:val="0"/>
        <w:adjustRightInd w:val="0"/>
        <w:snapToGrid w:val="0"/>
        <w:spacing w:line="600" w:lineRule="exact"/>
        <w:ind w:firstLine="600" w:firstLineChars="200"/>
        <w:jc w:val="center"/>
        <w:rPr>
          <w:rFonts w:ascii="宋体" w:hAnsi="宋体" w:eastAsia="方正仿宋_GBK" w:cs="Nimbus Roman No9 L"/>
          <w:color w:val="000000"/>
          <w:sz w:val="30"/>
          <w:szCs w:val="30"/>
        </w:rPr>
      </w:pPr>
    </w:p>
    <w:p>
      <w:pPr>
        <w:pStyle w:val="4"/>
        <w:wordWrap w:val="0"/>
        <w:adjustRightInd w:val="0"/>
        <w:snapToGrid w:val="0"/>
        <w:spacing w:line="600" w:lineRule="exact"/>
        <w:ind w:firstLine="600" w:firstLineChars="200"/>
        <w:jc w:val="center"/>
        <w:rPr>
          <w:rFonts w:ascii="宋体" w:hAnsi="宋体" w:eastAsia="方正仿宋_GBK" w:cs="Nimbus Roman No9 L"/>
          <w:color w:val="000000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spacing w:line="400" w:lineRule="exact"/>
        <w:outlineLvl w:val="0"/>
        <w:rPr>
          <w:rFonts w:ascii="宋体" w:hAnsi="宋体" w:eastAsia="黑体" w:cs="黑体"/>
          <w:color w:val="000000"/>
          <w:kern w:val="0"/>
          <w:sz w:val="30"/>
          <w:szCs w:val="30"/>
        </w:rPr>
      </w:pPr>
      <w:r>
        <w:rPr>
          <w:rFonts w:hint="eastAsia" w:ascii="宋体" w:hAnsi="宋体" w:eastAsia="黑体" w:cs="黑体"/>
          <w:color w:val="000000"/>
          <w:kern w:val="0"/>
          <w:sz w:val="30"/>
          <w:szCs w:val="30"/>
        </w:rPr>
        <w:t>附件2</w:t>
      </w:r>
    </w:p>
    <w:p>
      <w:pPr>
        <w:spacing w:line="400" w:lineRule="exact"/>
        <w:jc w:val="center"/>
      </w:pPr>
      <w:r>
        <w:rPr>
          <w:rFonts w:hint="eastAsia" w:ascii="宋体" w:hAnsi="宋体" w:eastAsia="方正小标宋_GBK" w:cs="方正小标宋_GBK"/>
          <w:color w:val="000000"/>
          <w:kern w:val="0"/>
          <w:sz w:val="40"/>
          <w:szCs w:val="40"/>
        </w:rPr>
        <w:t>行政许可事项实施规范目录</w:t>
      </w:r>
    </w:p>
    <w:tbl>
      <w:tblPr>
        <w:tblStyle w:val="8"/>
        <w:tblW w:w="145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814"/>
        <w:gridCol w:w="747"/>
        <w:gridCol w:w="966"/>
        <w:gridCol w:w="899"/>
        <w:gridCol w:w="815"/>
        <w:gridCol w:w="4032"/>
        <w:gridCol w:w="483"/>
        <w:gridCol w:w="497"/>
        <w:gridCol w:w="832"/>
        <w:gridCol w:w="655"/>
        <w:gridCol w:w="704"/>
        <w:gridCol w:w="672"/>
        <w:gridCol w:w="617"/>
        <w:gridCol w:w="567"/>
        <w:gridCol w:w="5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主项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子项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办理项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实施机关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设定和实施依据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是否涉企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改革方式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改革举措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中介服务事项名称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技术性服务事项名称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行政许可事项类型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审批结果类型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法定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Cs w:val="21"/>
              </w:rPr>
              <w:t>审批</w:t>
            </w: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时限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承诺</w:t>
            </w:r>
            <w:r>
              <w:rPr>
                <w:rFonts w:hint="eastAsia" w:ascii="Times New Roman" w:hAnsi="Times New Roman" w:eastAsia="黑体"/>
                <w:color w:val="000000"/>
                <w:kern w:val="0"/>
                <w:szCs w:val="21"/>
              </w:rPr>
              <w:t>审批</w:t>
            </w:r>
            <w:r>
              <w:rPr>
                <w:rFonts w:ascii="Times New Roman" w:hAnsi="Times New Roman" w:eastAsia="黑体"/>
                <w:color w:val="000000"/>
                <w:kern w:val="0"/>
                <w:szCs w:val="21"/>
              </w:rPr>
              <w:t>时限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/>
                <w:spacing w:val="23"/>
                <w:szCs w:val="21"/>
              </w:rPr>
            </w:pPr>
            <w:r>
              <w:rPr>
                <w:rFonts w:ascii="Times New Roman" w:hAnsi="Times New Roman"/>
                <w:spacing w:val="23"/>
                <w:szCs w:val="21"/>
              </w:rPr>
              <w:t>134</w:t>
            </w:r>
          </w:p>
          <w:p>
            <w:pPr>
              <w:pStyle w:val="2"/>
              <w:rPr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spacing w:val="-11"/>
                <w:kern w:val="0"/>
                <w:szCs w:val="21"/>
              </w:rPr>
              <w:t>（示例）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省公安厅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非机动</w:t>
            </w: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车注册登记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/>
              </w:rPr>
              <w:t>电动自行车变更登记,电动自行车注销登记,电动自行车转入登电动自行车转移登记记,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kern w:val="0"/>
                <w:sz w:val="22"/>
                <w:szCs w:val="22"/>
              </w:rPr>
              <w:t>电动自行车注册登记</w:t>
            </w: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县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级公安机关交通管理部门</w:t>
            </w: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方正仿宋_GBK" w:cs="方正仿宋_GBK"/>
                <w:kern w:val="0"/>
                <w:szCs w:val="21"/>
              </w:rPr>
            </w:pPr>
            <w:r>
              <w:rPr>
                <w:rFonts w:hint="eastAsia" w:ascii="宋体" w:hAnsi="宋体" w:eastAsia="方正仿宋_GBK" w:cs="方正仿宋_GBK"/>
                <w:kern w:val="0"/>
                <w:szCs w:val="21"/>
              </w:rPr>
              <w:t>《中华人民共和国道路交通安全法》</w:t>
            </w:r>
          </w:p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eastAsia" w:ascii="宋体" w:hAnsi="宋体" w:eastAsia="方正仿宋_GBK" w:cs="方正仿宋_GBK"/>
                <w:kern w:val="0"/>
                <w:szCs w:val="21"/>
              </w:rPr>
              <w:t>《云南省电动自行车管理规定》（云南省人民政府令第183号）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否</w:t>
            </w: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即办件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条件型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即办件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即办件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rPr>
                <w:rFonts w:ascii="Times New Roman" w:hAnsi="Times New Roman" w:eastAsia="方正仿宋_GBK"/>
                <w:color w:val="000000"/>
                <w:spacing w:val="-11"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方正仿宋_GBK" w:cs="方正仿宋_GBK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方正仿宋_GBK" w:cs="方正仿宋_GBK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eastAsia="方正仿宋_GBK" w:cs="方正仿宋_GBK"/>
                <w:kern w:val="0"/>
                <w:szCs w:val="21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宋体" w:hAnsi="宋体" w:eastAsia="方正仿宋_GBK" w:cs="方正仿宋_GBK"/>
                <w:kern w:val="0"/>
                <w:szCs w:val="21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4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黑体"/>
                <w:color w:val="000000"/>
                <w:sz w:val="24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黑体"/>
                <w:color w:val="000000"/>
                <w:sz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黑体"/>
                <w:color w:val="000000"/>
                <w:sz w:val="24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黑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54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填表说明：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1.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序号按照《云南清单》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中行政许可事项对应的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序号填写；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2.主管部门、主项、子项、办理项与省直有关部门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中央驻滇有关单位公布的行政许可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事项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实施规范保持一致；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3.实施机关按照省直有关部门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中央驻滇有关单位公布的行政许可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事项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实施规范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填报；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4.设定和实施依据参照省直有关部门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中央驻滇有关单位公布的行政许可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事项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实施规范填报，</w:t>
            </w:r>
            <w:r>
              <w:rPr>
                <w:rFonts w:ascii="Times New Roman" w:hAnsi="Times New Roman" w:eastAsia="方正仿宋_GBK"/>
                <w:b/>
                <w:bCs/>
                <w:color w:val="000000"/>
                <w:kern w:val="0"/>
                <w:szCs w:val="21"/>
              </w:rPr>
              <w:t>并列明具体条款和内容，涉及实施机关、审批范围、委托下放等内容加粗；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5.改革方式按照省直有关部门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中央驻滇有关单位公布的行政许可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事项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实施规范，</w:t>
            </w:r>
            <w:r>
              <w:rPr>
                <w:rFonts w:ascii="Times New Roman" w:hAnsi="Times New Roman" w:eastAsia="方正仿宋_GBK"/>
                <w:b/>
                <w:bCs/>
                <w:color w:val="000000"/>
                <w:kern w:val="0"/>
                <w:szCs w:val="21"/>
              </w:rPr>
              <w:t>填报</w:t>
            </w:r>
            <w:r>
              <w:rPr>
                <w:rStyle w:val="12"/>
                <w:rFonts w:hint="default" w:ascii="Times New Roman" w:hAnsi="Times New Roman" w:eastAsia="方正仿宋_GBK" w:cs="Times New Roman"/>
                <w:sz w:val="21"/>
                <w:szCs w:val="21"/>
              </w:rPr>
              <w:t>告知承诺、减材料、减程序、减时限等；</w:t>
            </w:r>
            <w:r>
              <w:rPr>
                <w:rStyle w:val="13"/>
                <w:rFonts w:hint="default" w:ascii="Times New Roman" w:hAnsi="Times New Roman" w:eastAsia="方正仿宋_GBK" w:cs="Times New Roman"/>
                <w:sz w:val="21"/>
                <w:szCs w:val="21"/>
              </w:rPr>
              <w:br w:type="textWrapping"/>
            </w:r>
            <w:r>
              <w:rPr>
                <w:rStyle w:val="13"/>
                <w:rFonts w:hint="default" w:ascii="Times New Roman" w:hAnsi="Times New Roman" w:eastAsia="方正仿宋_GBK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.是否涉企、</w:t>
            </w:r>
            <w:r>
              <w:rPr>
                <w:rStyle w:val="13"/>
                <w:rFonts w:hint="default" w:ascii="Times New Roman" w:hAnsi="Times New Roman" w:eastAsia="方正仿宋_GBK" w:cs="Times New Roman"/>
                <w:sz w:val="21"/>
                <w:szCs w:val="21"/>
              </w:rPr>
              <w:t>改革举措、中介服务事项名称、技术性服务事项名称、行政许可事项类型、审批结果类型、法定审批时限等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按照省直有关部门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中央驻滇有关单位公布的行政许可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事项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实施规范填报；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Style w:val="13"/>
                <w:rFonts w:hint="default" w:ascii="Times New Roman" w:hAnsi="Times New Roman" w:eastAsia="方正仿宋_GBK" w:cs="Times New Roman"/>
                <w:sz w:val="21"/>
                <w:szCs w:val="21"/>
              </w:rPr>
              <w:t>7.承诺审批时限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按照省直有关部门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中央驻滇有关单位公布的行政许可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事项</w:t>
            </w:r>
            <w:r>
              <w:rPr>
                <w:rFonts w:ascii="Times New Roman" w:hAnsi="Times New Roman" w:eastAsia="方正仿宋_GBK"/>
                <w:color w:val="000000"/>
                <w:kern w:val="0"/>
                <w:szCs w:val="21"/>
              </w:rPr>
              <w:t>实施规范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Cs w:val="21"/>
              </w:rPr>
              <w:t>填报</w:t>
            </w:r>
            <w:r>
              <w:rPr>
                <w:rStyle w:val="13"/>
                <w:rFonts w:hint="default" w:ascii="Times New Roman" w:hAnsi="Times New Roman" w:eastAsia="方正仿宋_GBK" w:cs="Times New Roman"/>
                <w:sz w:val="21"/>
                <w:szCs w:val="21"/>
              </w:rPr>
              <w:t>，若改革方式有减时限的，承诺审批时限要与改革举措中的时间对应。</w:t>
            </w:r>
          </w:p>
        </w:tc>
      </w:tr>
    </w:tbl>
    <w:p>
      <w:pPr>
        <w:pStyle w:val="4"/>
        <w:wordWrap w:val="0"/>
        <w:adjustRightInd w:val="0"/>
        <w:snapToGrid w:val="0"/>
        <w:spacing w:line="600" w:lineRule="exact"/>
        <w:ind w:firstLine="600" w:firstLineChars="200"/>
        <w:jc w:val="center"/>
        <w:rPr>
          <w:rFonts w:ascii="宋体" w:hAnsi="宋体" w:eastAsia="方正仿宋_GBK" w:cs="Nimbus Roman No9 L"/>
          <w:color w:val="000000"/>
          <w:sz w:val="30"/>
          <w:szCs w:val="30"/>
        </w:rPr>
        <w:sectPr>
          <w:pgSz w:w="16838" w:h="11906" w:orient="landscape"/>
          <w:pgMar w:top="1247" w:right="1247" w:bottom="1247" w:left="1247" w:header="851" w:footer="992" w:gutter="0"/>
          <w:cols w:space="720" w:num="1"/>
          <w:docGrid w:type="lines" w:linePitch="319" w:charSpace="0"/>
        </w:sectPr>
      </w:pPr>
    </w:p>
    <w:p>
      <w:pPr>
        <w:pStyle w:val="4"/>
        <w:wordWrap w:val="0"/>
        <w:adjustRightInd w:val="0"/>
        <w:snapToGrid w:val="0"/>
        <w:spacing w:line="600" w:lineRule="exact"/>
        <w:ind w:firstLine="0"/>
        <w:rPr>
          <w:rFonts w:ascii="宋体" w:hAnsi="宋体" w:eastAsia="方正仿宋_GBK" w:cs="Nimbus Roman No9 L"/>
          <w:color w:val="00000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Nimbus Roman No9 L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-5.85pt;height:16.1pt;width:49.85pt;mso-position-horizontal:outside;mso-position-horizontal-relative:margin;z-index:251659264;mso-width-relative:page;mso-height-relative:page;" filled="f" stroked="f" coordsize="21600,21600" o:gfxdata="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rsWoj1gAAAAYBAAAPAAAAAAAAAAEA&#10;IAAAACIAAABkcnMvZG93bnJldi54bWxQSwECFAAUAAAACACHTuJAz1hukJ8BAAAjAwAADgAAAAAA&#10;AAABACAAAAAlAQAAZHJzL2Uyb0RvYy54bWxQSwUGAAAAAAYABgBZAQAANg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rPr>
                    <w:rFonts w:ascii="Times New Roman" w:hAnsi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— 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>2</w:t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ascii="Times New Roman" w:hAnsi="Times New Roman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2ABE56"/>
    <w:multiLevelType w:val="singleLevel"/>
    <w:tmpl w:val="832ABE5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2E15906"/>
    <w:multiLevelType w:val="singleLevel"/>
    <w:tmpl w:val="92E159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6337A55"/>
    <w:multiLevelType w:val="singleLevel"/>
    <w:tmpl w:val="36337A55"/>
    <w:lvl w:ilvl="0" w:tentative="0">
      <w:start w:val="1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5AD9435"/>
    <w:multiLevelType w:val="singleLevel"/>
    <w:tmpl w:val="55AD9435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2894DBF"/>
    <w:multiLevelType w:val="singleLevel"/>
    <w:tmpl w:val="72894D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D50B5FD"/>
    <w:multiLevelType w:val="singleLevel"/>
    <w:tmpl w:val="7D50B5FD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k5NDdiNDE1ZDZlOTQxOWE2NzIyYTk5YTE1ZTU2NWUifQ=="/>
  </w:docVars>
  <w:rsids>
    <w:rsidRoot w:val="00364BD1"/>
    <w:rsid w:val="00303AD6"/>
    <w:rsid w:val="00343760"/>
    <w:rsid w:val="00364BD1"/>
    <w:rsid w:val="00561219"/>
    <w:rsid w:val="00643BE3"/>
    <w:rsid w:val="006B4CC4"/>
    <w:rsid w:val="007A5708"/>
    <w:rsid w:val="007D4BDF"/>
    <w:rsid w:val="007E59AB"/>
    <w:rsid w:val="00807284"/>
    <w:rsid w:val="00890A59"/>
    <w:rsid w:val="009B25BE"/>
    <w:rsid w:val="00A00E80"/>
    <w:rsid w:val="00BA49C7"/>
    <w:rsid w:val="00C005B7"/>
    <w:rsid w:val="00C14174"/>
    <w:rsid w:val="00C17B24"/>
    <w:rsid w:val="00C42DEA"/>
    <w:rsid w:val="00D0623D"/>
    <w:rsid w:val="00D22429"/>
    <w:rsid w:val="00DC5E6F"/>
    <w:rsid w:val="00DE1BE7"/>
    <w:rsid w:val="016025FC"/>
    <w:rsid w:val="01B26CE9"/>
    <w:rsid w:val="01E80934"/>
    <w:rsid w:val="02924A37"/>
    <w:rsid w:val="02BC2132"/>
    <w:rsid w:val="02E132C9"/>
    <w:rsid w:val="033D7295"/>
    <w:rsid w:val="034F2928"/>
    <w:rsid w:val="0397607D"/>
    <w:rsid w:val="03AC325A"/>
    <w:rsid w:val="043B4C5B"/>
    <w:rsid w:val="043D09D3"/>
    <w:rsid w:val="048D7B6D"/>
    <w:rsid w:val="04E86B91"/>
    <w:rsid w:val="056B2489"/>
    <w:rsid w:val="05931FA4"/>
    <w:rsid w:val="06744454"/>
    <w:rsid w:val="071C0D73"/>
    <w:rsid w:val="07BD5D3F"/>
    <w:rsid w:val="08283748"/>
    <w:rsid w:val="0837398B"/>
    <w:rsid w:val="08872B64"/>
    <w:rsid w:val="08E7715F"/>
    <w:rsid w:val="08FD417D"/>
    <w:rsid w:val="0920227F"/>
    <w:rsid w:val="097924AD"/>
    <w:rsid w:val="09896468"/>
    <w:rsid w:val="09BC4A90"/>
    <w:rsid w:val="0B136616"/>
    <w:rsid w:val="0CCE0D62"/>
    <w:rsid w:val="0D363E6C"/>
    <w:rsid w:val="0DBF0A6A"/>
    <w:rsid w:val="1058663A"/>
    <w:rsid w:val="10A65B52"/>
    <w:rsid w:val="11531836"/>
    <w:rsid w:val="11F03528"/>
    <w:rsid w:val="127E28E2"/>
    <w:rsid w:val="12A30156"/>
    <w:rsid w:val="13542B1C"/>
    <w:rsid w:val="137B32C6"/>
    <w:rsid w:val="13B50586"/>
    <w:rsid w:val="14535FF1"/>
    <w:rsid w:val="149B12B0"/>
    <w:rsid w:val="1504530D"/>
    <w:rsid w:val="15187EF1"/>
    <w:rsid w:val="15542020"/>
    <w:rsid w:val="158346B4"/>
    <w:rsid w:val="15F80BFE"/>
    <w:rsid w:val="174F6F43"/>
    <w:rsid w:val="181810E3"/>
    <w:rsid w:val="18585984"/>
    <w:rsid w:val="188E75F7"/>
    <w:rsid w:val="18923A14"/>
    <w:rsid w:val="18E74F9F"/>
    <w:rsid w:val="19722A75"/>
    <w:rsid w:val="1AB05F4B"/>
    <w:rsid w:val="1AE94FB9"/>
    <w:rsid w:val="1B0A3F80"/>
    <w:rsid w:val="1B2A2223"/>
    <w:rsid w:val="1B612DA1"/>
    <w:rsid w:val="1B6E39DA"/>
    <w:rsid w:val="1B7DD003"/>
    <w:rsid w:val="1B8A054A"/>
    <w:rsid w:val="1B944F25"/>
    <w:rsid w:val="1CA11A1E"/>
    <w:rsid w:val="1CF217D0"/>
    <w:rsid w:val="1DBA49EB"/>
    <w:rsid w:val="1DBB5971"/>
    <w:rsid w:val="1DC00253"/>
    <w:rsid w:val="1FAA740D"/>
    <w:rsid w:val="1FB78FAA"/>
    <w:rsid w:val="1FC6404E"/>
    <w:rsid w:val="1FCE4994"/>
    <w:rsid w:val="1FD95B16"/>
    <w:rsid w:val="200555AD"/>
    <w:rsid w:val="200C3C23"/>
    <w:rsid w:val="20104055"/>
    <w:rsid w:val="20210D51"/>
    <w:rsid w:val="20AF2801"/>
    <w:rsid w:val="21052421"/>
    <w:rsid w:val="216B399A"/>
    <w:rsid w:val="22F95FB5"/>
    <w:rsid w:val="23040BE2"/>
    <w:rsid w:val="23696C97"/>
    <w:rsid w:val="23761B63"/>
    <w:rsid w:val="23BF10E1"/>
    <w:rsid w:val="23C95987"/>
    <w:rsid w:val="23D06D16"/>
    <w:rsid w:val="23E150D1"/>
    <w:rsid w:val="24172B97"/>
    <w:rsid w:val="26292FF3"/>
    <w:rsid w:val="2680412E"/>
    <w:rsid w:val="26DB608F"/>
    <w:rsid w:val="27165388"/>
    <w:rsid w:val="2753038A"/>
    <w:rsid w:val="286D547B"/>
    <w:rsid w:val="28AA3FD9"/>
    <w:rsid w:val="290343AE"/>
    <w:rsid w:val="29A30A29"/>
    <w:rsid w:val="29EB2AFB"/>
    <w:rsid w:val="29EC23D0"/>
    <w:rsid w:val="2A614B6C"/>
    <w:rsid w:val="2B1F0A6C"/>
    <w:rsid w:val="2B395AE8"/>
    <w:rsid w:val="2C0A4D8F"/>
    <w:rsid w:val="2C275941"/>
    <w:rsid w:val="2C447F7D"/>
    <w:rsid w:val="2CA465BE"/>
    <w:rsid w:val="2CA95423"/>
    <w:rsid w:val="2CEE645F"/>
    <w:rsid w:val="2F0D7070"/>
    <w:rsid w:val="2F7F05A9"/>
    <w:rsid w:val="302B62B8"/>
    <w:rsid w:val="305D07D3"/>
    <w:rsid w:val="306B04F2"/>
    <w:rsid w:val="30766E97"/>
    <w:rsid w:val="307D13CE"/>
    <w:rsid w:val="313541D2"/>
    <w:rsid w:val="318667A4"/>
    <w:rsid w:val="31E64538"/>
    <w:rsid w:val="32EB3B6C"/>
    <w:rsid w:val="3312389D"/>
    <w:rsid w:val="33B2468A"/>
    <w:rsid w:val="34751C30"/>
    <w:rsid w:val="34833930"/>
    <w:rsid w:val="352B0250"/>
    <w:rsid w:val="352E14F6"/>
    <w:rsid w:val="35F42D38"/>
    <w:rsid w:val="36B75D10"/>
    <w:rsid w:val="36EF52AD"/>
    <w:rsid w:val="36F68A78"/>
    <w:rsid w:val="38494CA3"/>
    <w:rsid w:val="38A2043F"/>
    <w:rsid w:val="38E250CA"/>
    <w:rsid w:val="394E09B1"/>
    <w:rsid w:val="39A6259B"/>
    <w:rsid w:val="3A0110B2"/>
    <w:rsid w:val="3AC070FB"/>
    <w:rsid w:val="3AFE6FD9"/>
    <w:rsid w:val="3B1A5441"/>
    <w:rsid w:val="3B895CD0"/>
    <w:rsid w:val="3B9308FD"/>
    <w:rsid w:val="3BFA4E20"/>
    <w:rsid w:val="3C0E51BF"/>
    <w:rsid w:val="3C204033"/>
    <w:rsid w:val="3C277297"/>
    <w:rsid w:val="3C5038CD"/>
    <w:rsid w:val="3CD1637F"/>
    <w:rsid w:val="3F6E52AC"/>
    <w:rsid w:val="3FB53538"/>
    <w:rsid w:val="427A6373"/>
    <w:rsid w:val="43F9776B"/>
    <w:rsid w:val="44252B13"/>
    <w:rsid w:val="455235D7"/>
    <w:rsid w:val="46A229F8"/>
    <w:rsid w:val="46B5206F"/>
    <w:rsid w:val="46C67DD9"/>
    <w:rsid w:val="474D4056"/>
    <w:rsid w:val="475363DF"/>
    <w:rsid w:val="485673C8"/>
    <w:rsid w:val="487877F8"/>
    <w:rsid w:val="48F14EB5"/>
    <w:rsid w:val="494F67AB"/>
    <w:rsid w:val="49533CA1"/>
    <w:rsid w:val="496438D9"/>
    <w:rsid w:val="4A014AD3"/>
    <w:rsid w:val="4A4C6847"/>
    <w:rsid w:val="4A9B332A"/>
    <w:rsid w:val="4AC96155"/>
    <w:rsid w:val="4B08477A"/>
    <w:rsid w:val="4CB35AA1"/>
    <w:rsid w:val="4D1C0AA0"/>
    <w:rsid w:val="4D471547"/>
    <w:rsid w:val="4D92781D"/>
    <w:rsid w:val="4E4027E2"/>
    <w:rsid w:val="4E6522A6"/>
    <w:rsid w:val="4EE45351"/>
    <w:rsid w:val="4F337FD5"/>
    <w:rsid w:val="4FDB39D0"/>
    <w:rsid w:val="50AB293F"/>
    <w:rsid w:val="50D852D8"/>
    <w:rsid w:val="50F814D6"/>
    <w:rsid w:val="51AE6039"/>
    <w:rsid w:val="52181704"/>
    <w:rsid w:val="52232583"/>
    <w:rsid w:val="52401205"/>
    <w:rsid w:val="53DF1741"/>
    <w:rsid w:val="54532EC8"/>
    <w:rsid w:val="5583158B"/>
    <w:rsid w:val="55DF2C65"/>
    <w:rsid w:val="56AD289A"/>
    <w:rsid w:val="576C09AB"/>
    <w:rsid w:val="57827D4C"/>
    <w:rsid w:val="58626DC3"/>
    <w:rsid w:val="59260BAB"/>
    <w:rsid w:val="5A9B2ED2"/>
    <w:rsid w:val="5A9C7376"/>
    <w:rsid w:val="5AEE74A6"/>
    <w:rsid w:val="5B2F01EA"/>
    <w:rsid w:val="5B687259"/>
    <w:rsid w:val="5B977B3E"/>
    <w:rsid w:val="5BBC4198"/>
    <w:rsid w:val="5BC621D1"/>
    <w:rsid w:val="5BCD355F"/>
    <w:rsid w:val="5BFF20D1"/>
    <w:rsid w:val="5C8A31FF"/>
    <w:rsid w:val="5D9702C9"/>
    <w:rsid w:val="5DBE13B2"/>
    <w:rsid w:val="5E2356B9"/>
    <w:rsid w:val="5EC64A0F"/>
    <w:rsid w:val="5EF552A7"/>
    <w:rsid w:val="5F5C0E82"/>
    <w:rsid w:val="5FAD16DE"/>
    <w:rsid w:val="5FC543FC"/>
    <w:rsid w:val="5FD55C5C"/>
    <w:rsid w:val="6026648F"/>
    <w:rsid w:val="60A46927"/>
    <w:rsid w:val="61EA0D81"/>
    <w:rsid w:val="62540537"/>
    <w:rsid w:val="62A212A2"/>
    <w:rsid w:val="62F85366"/>
    <w:rsid w:val="630C0E11"/>
    <w:rsid w:val="631D6B7A"/>
    <w:rsid w:val="632779F9"/>
    <w:rsid w:val="635D124F"/>
    <w:rsid w:val="638906B4"/>
    <w:rsid w:val="63C919E9"/>
    <w:rsid w:val="63D538F9"/>
    <w:rsid w:val="63E3516E"/>
    <w:rsid w:val="642F61F1"/>
    <w:rsid w:val="64E929AC"/>
    <w:rsid w:val="659F41BF"/>
    <w:rsid w:val="660B715E"/>
    <w:rsid w:val="66C12033"/>
    <w:rsid w:val="66C57C55"/>
    <w:rsid w:val="66E31E89"/>
    <w:rsid w:val="67A402FE"/>
    <w:rsid w:val="67CFF62F"/>
    <w:rsid w:val="67D16185"/>
    <w:rsid w:val="681F15E7"/>
    <w:rsid w:val="68DB550E"/>
    <w:rsid w:val="68F14A85"/>
    <w:rsid w:val="69C064B2"/>
    <w:rsid w:val="6A4B221F"/>
    <w:rsid w:val="6A4D243B"/>
    <w:rsid w:val="6A905B8A"/>
    <w:rsid w:val="6AB848FE"/>
    <w:rsid w:val="6ABB2A2F"/>
    <w:rsid w:val="6ACB3360"/>
    <w:rsid w:val="6B160A7F"/>
    <w:rsid w:val="6BCA5E13"/>
    <w:rsid w:val="6C586E75"/>
    <w:rsid w:val="6C89702F"/>
    <w:rsid w:val="6CD96208"/>
    <w:rsid w:val="6CDF2E5D"/>
    <w:rsid w:val="6D3376BB"/>
    <w:rsid w:val="6DD76D75"/>
    <w:rsid w:val="6ECF411F"/>
    <w:rsid w:val="6F252B6C"/>
    <w:rsid w:val="6F3040D9"/>
    <w:rsid w:val="6F9C52CB"/>
    <w:rsid w:val="6FE32EFA"/>
    <w:rsid w:val="70666005"/>
    <w:rsid w:val="71106E45"/>
    <w:rsid w:val="73920EBF"/>
    <w:rsid w:val="757416A8"/>
    <w:rsid w:val="75DE663D"/>
    <w:rsid w:val="76053BCA"/>
    <w:rsid w:val="76EF6628"/>
    <w:rsid w:val="77FFCD3F"/>
    <w:rsid w:val="78574485"/>
    <w:rsid w:val="78972AD3"/>
    <w:rsid w:val="78FFCCAD"/>
    <w:rsid w:val="79DF88CE"/>
    <w:rsid w:val="7A1E77F8"/>
    <w:rsid w:val="7B8A301E"/>
    <w:rsid w:val="7BBE2454"/>
    <w:rsid w:val="7C083D5D"/>
    <w:rsid w:val="7C0C5586"/>
    <w:rsid w:val="7CBCAD48"/>
    <w:rsid w:val="7CE34539"/>
    <w:rsid w:val="7D5176F5"/>
    <w:rsid w:val="7D9A5540"/>
    <w:rsid w:val="7DC10678"/>
    <w:rsid w:val="7E4454AB"/>
    <w:rsid w:val="7E6165FD"/>
    <w:rsid w:val="7EF26CB5"/>
    <w:rsid w:val="7FF54CAF"/>
    <w:rsid w:val="BA7B23C6"/>
    <w:rsid w:val="BEDE2738"/>
    <w:rsid w:val="DBDD4319"/>
    <w:rsid w:val="DD2EABF9"/>
    <w:rsid w:val="EFCBB1F8"/>
    <w:rsid w:val="F7D706E5"/>
    <w:rsid w:val="FD7B2237"/>
    <w:rsid w:val="FDA73F66"/>
    <w:rsid w:val="FE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0"/>
    <w:pPr>
      <w:ind w:left="1680"/>
    </w:pPr>
  </w:style>
  <w:style w:type="paragraph" w:styleId="4">
    <w:name w:val="Normal Indent"/>
    <w:basedOn w:val="1"/>
    <w:qFormat/>
    <w:uiPriority w:val="0"/>
    <w:pPr>
      <w:ind w:firstLine="630"/>
    </w:pPr>
    <w:rPr>
      <w:rFonts w:eastAsia="仿宋_GB2312"/>
      <w:kern w:val="0"/>
      <w:sz w:val="3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0">
    <w:name w:val="正文空2字"/>
    <w:qFormat/>
    <w:uiPriority w:val="0"/>
    <w:pPr>
      <w:widowControl w:val="0"/>
      <w:snapToGrid w:val="0"/>
      <w:spacing w:line="560" w:lineRule="exact"/>
      <w:ind w:firstLine="640" w:firstLineChars="200"/>
    </w:pPr>
    <w:rPr>
      <w:rFonts w:hint="eastAsia" w:ascii="仿宋_GB2312" w:hAnsi="宋体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1">
    <w:name w:val="font41"/>
    <w:basedOn w:val="9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2">
    <w:name w:val="font51"/>
    <w:basedOn w:val="9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13">
    <w:name w:val="font1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141"/>
    <w:basedOn w:val="9"/>
    <w:qFormat/>
    <w:uiPriority w:val="0"/>
    <w:rPr>
      <w:rFonts w:ascii="方正黑体_GBK" w:hAnsi="方正黑体_GBK" w:eastAsia="方正黑体_GBK" w:cs="方正黑体_GBK"/>
      <w:color w:val="000000"/>
      <w:sz w:val="22"/>
      <w:szCs w:val="22"/>
      <w:u w:val="none"/>
    </w:rPr>
  </w:style>
  <w:style w:type="paragraph" w:customStyle="1" w:styleId="15">
    <w:name w:val="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Times New Roman"/>
      <w:kern w:val="0"/>
      <w:sz w:val="20"/>
    </w:rPr>
  </w:style>
  <w:style w:type="character" w:customStyle="1" w:styleId="16">
    <w:name w:val="font81"/>
    <w:basedOn w:val="9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1653</Words>
  <Characters>1712</Characters>
  <Lines>13</Lines>
  <Paragraphs>3</Paragraphs>
  <TotalTime>0</TotalTime>
  <ScaleCrop>false</ScaleCrop>
  <LinksUpToDate>false</LinksUpToDate>
  <CharactersWithSpaces>1716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2024-04-02T01:23:00Z</dcterms:created>
  <dc:creator>Administrator</dc:creator>
  <cp:lastModifiedBy>Administrator</cp:lastModifiedBy>
  <cp:lastPrinted>2023-02-09T23:22:00Z</cp:lastPrinted>
  <dcterms:modified xsi:type="dcterms:W3CDTF">2024-08-19T08:27:48Z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0AB760C030D7478DB1B1D868D8C07F09</vt:lpwstr>
  </property>
</Properties>
</file>