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-1008380</wp:posOffset>
                </wp:positionH>
                <wp:positionV relativeFrom="paragraph">
                  <wp:posOffset>-1403985</wp:posOffset>
                </wp:positionV>
                <wp:extent cx="635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586" y="-489577"/>
                          <a:ext cx="952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79.4pt;margin-top:-110.55pt;height:0.05pt;width:0.05pt;z-index:251659264;mso-width-relative:page;mso-height-relative:page;" filled="f" stroked="t" coordsize="21600,21600" o:gfxdata="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pbS+dsAAAAPAQAA&#10;DwAAAAAAAAABACAAAAAiAAAAZHJzL2Rvd25yZXYueG1sUEsBAhQAFAAAAAgAh07iQLr65sJPAgAA&#10;lgQAAA4AAAAAAAAAAQAgAAAAKgEAAGRycy9lMm9Eb2MueG1sUEsFBgAAAAAGAAYAWQEAAOsFAAAA&#10;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eastAsia="方正黑体简体" w:cs="方正黑体简体"/>
          <w:sz w:val="42"/>
          <w:szCs w:val="42"/>
        </w:rPr>
      </w:pPr>
      <w:r>
        <w:rPr>
          <w:rFonts w:hint="eastAsia" w:ascii="方正黑体简体" w:eastAsia="方正黑体简体" w:cs="方正黑体简体"/>
          <w:sz w:val="42"/>
          <w:szCs w:val="42"/>
        </w:rPr>
        <w:t xml:space="preserve">  </w:t>
      </w:r>
    </w:p>
    <w:p>
      <w:pPr>
        <w:outlineLvl w:val="0"/>
        <w:rPr>
          <w:rFonts w:hint="eastAsia" w:ascii="仿宋_GB2312" w:eastAsia="仿宋_GB2312" w:cs="仿宋_GB2312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香格里拉市财政局 香格里拉市教育体育局关于下达2024年城乡义务教育补助经费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第一批中央直达资金的通知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香格里拉市教育体育局、各相关学校：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根据《迪庆州财政局 州教育体育局关于下达2024年城乡义务教育补助经费第一批中央直达资金的通知》（迪财教〔2024〕11号）文的相关内容和规定，现将上级财政安排的2024年城乡义务教育补助经费第一批中央直达资金3,645.76万元下达给你们（具体项目、金额及功能分类详见附表）</w:t>
      </w:r>
      <w:r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一、收文单位请于收文后的5个工作日内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云南省地方财政预算标准化管理平台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项目库管理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申报相关项目，以确保资金指标的及时下达和资金拨款进度。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、落实《云南省政府办公厅关于印发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教育领域财政事权和支出责任划分改革实施方案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》（云政办发〔2020〕7号）有关要求，做好202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年预算分解下达工作，并结合本地实际足额安排应承担的资金预算，确保各项政策落实到位。待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中央和省级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年预算确定后，省级将再次核定分项人数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和各地预算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，请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各位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提前做好基础数据统计核实等相关基础工作，确保数据真实准确，由于基础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有误或未及时报送造成未纳入清算的，所需经费自行承担。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、城乡义务教育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补助资金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纳入直达资金范围管理，标识为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01中央直达资金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，要及时在指标管理系统中登录有关指标和直达资标识，导入直达资金监控系统，确保数据真实、账目清晰、流向明确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，确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保中央和省委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省政府对资金直达基层、直接惠民的要求落实到位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四、要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严格执行《城乡义务教育补助经费管理办法》（财教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56号），加强公用经费的使用管理，按规定及时足额拨付义务教育学校公用经费，严禁滞拨缓拨经费；继续巩固完善义务教育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校舍安全，中小学校舍维修改造长效机制资金支持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农村公办义务教育学校维修改造，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抗震加固、改扩建校舍及附属设施，不得用于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城区学校，不得用于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购置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设备，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各县（市、区）须填报《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2024年农村中小学校舍维修改造长效机制资金项目备案表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》（见附件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）至州教育局备案，在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云南省办学条件管理系统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中完成项目备案数据填报，并在系统中填报项目进度，直至完工。进一步加强和改进本区域学生营养改善计划工作，对虚报、冒领、套取、挤占、挪用膳食补助和在食堂经费中列支教职工伙食、奖金福利、招待费等行为，依法依规严肃惩处；全面准确摸清义务教育家庭经济困难学生底数，确保国家资助政策执行到位；落实原集中连片特困县乡村教师生活补助政策，确保特岗教师工资按时足额发放，享受与公办学校教师同等待遇。严禁挤占、挪用、虚列、套取补助资金等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本次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项目绩效目标将待中央下达后再行分解下达，各县（市、区）财政、教育部门要坚持问题导向和结果导向，对标对表中央全面实施预算绩效管理意见以及云南省实施意见，增强成本意识，健全绩效管理机制，推动财政资金聚力增效。全绩效管理机制，推动财政资金聚力增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本文件的资金中涉及采购需求的，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请在收到文件的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3日内，将资金使用情况表，加盖公章交至我股室，逾期不交视为无需采购资金，后期因无法进行采购的，后果由单位自行承担。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8" w:leftChars="305" w:hanging="1248" w:hangingChars="4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1.香格里拉市2024年度城乡义务教育阶段学校公用经费中央直达补助资金分配表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香格里拉市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2024年度特殊教育公用经费中央直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达补助资金分配表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云南省2024年中小学校舍维修改造长效机制项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目备案表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香格里拉市2024年城乡义务教育补助经费中央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直达资金营养改善资金分配表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eastAsia="zh-CN"/>
        </w:rPr>
        <w:t>香格里拉市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2024年度城乡义务教育阶段学校公用经费中央直达补助资金分配表（乡村教师生活补助）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香格里拉市2024年度城乡义务教育阶段学校公用经费中央直达补助资金分配表（校舍安全）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香格里拉市2024年度城乡义务教育阶段学校公用经费中央直达补助资金分配表（“三区三州”学校取暖费）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8" w:leftChars="760" w:hanging="312" w:hangingChars="100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香格里拉市2024年度城乡义务教育阶段学校公</w:t>
      </w:r>
      <w:r>
        <w:rPr>
          <w:rFonts w:hint="eastAsia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 w:eastAsia="zh-CN"/>
        </w:rPr>
        <w:t>用经费中央直达资金分配表（特岗教师）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4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  <w:t>香格里拉市财政局                 香格里拉市教育体育局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6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-4"/>
          <w:kern w:val="2"/>
          <w:sz w:val="32"/>
          <w:szCs w:val="32"/>
          <w:lang w:val="en-US" w:eastAsia="zh-CN"/>
        </w:rPr>
        <w:t xml:space="preserve">2024年3月19日                    </w:t>
      </w:r>
    </w:p>
    <w:p>
      <w:pPr>
        <w:keepNext w:val="0"/>
        <w:keepLines w:val="0"/>
        <w:pageBreakBefore w:val="0"/>
        <w:widowControl w:val="0"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1393"/>
        </w:tabs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99060</wp:posOffset>
                </wp:positionV>
                <wp:extent cx="5534660" cy="635"/>
                <wp:effectExtent l="0" t="0" r="0" b="0"/>
                <wp:wrapNone/>
                <wp:docPr id="7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534660" cy="952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flip:y;margin-left:-9.1pt;margin-top:7.8pt;height:0.05pt;width:435.8pt;z-index:251659264;mso-width-relative:page;mso-height-relative:page;" filled="f" stroked="t" coordsize="21600,21600" o:gfxdata="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1k2D3YAAAACQEAAA8AAAAAAAAAAQAgAAAAIgAAAGRycy9kb3ducmV2Lnht&#10;bFBLAQIUABQAAAAIAIdO4kBL4H/1MgIAAEMEAAAOAAAAAAAAAAEAIAAAACcBAABkcnMvZTJvRG9j&#10;LnhtbFBLBQYAAAAABgAGAFkBAAD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283845</wp:posOffset>
                </wp:positionV>
                <wp:extent cx="5534660" cy="635"/>
                <wp:effectExtent l="0" t="0" r="0" b="0"/>
                <wp:wrapNone/>
                <wp:docPr id="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534660" cy="952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-9.7pt;margin-top:22.35pt;height:0.05pt;width:435.8pt;z-index:251659264;mso-width-relative:page;mso-height-relative:page;" filled="f" stroked="t" coordsize="21600,21600" o:gfxdata="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mUMbfZAAAACQEAAA8AAAAAAAAAAQAgAAAAIgAAAGRycy9kb3ducmV2Lnht&#10;bFBLAQIUABQAAAAIAIdO4kCnRL8oMQIAAEIEAAAOAAAAAAAAAAEAIAAAACgBAABkcnMvZTJvRG9j&#10;LnhtbFBLBQYAAAAABgAGAFkBAAD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香格里拉市财政局教科文化股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2024年3月19日印发 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EA91B"/>
    <w:multiLevelType w:val="singleLevel"/>
    <w:tmpl w:val="840EA9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enforcement="0"/>
  <w:defaultTabStop w:val="420"/>
  <w:drawingGridHorizontalSpacing w:val="210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GVkMTNjYzUyODBiZWZmMzZhNTgyMzIwYjI1OWVmMGIifQ=="/>
  </w:docVars>
  <w:rsids>
    <w:rsidRoot w:val="00000000"/>
    <w:rsid w:val="00010789"/>
    <w:rsid w:val="00917563"/>
    <w:rsid w:val="00FE7C20"/>
    <w:rsid w:val="02423586"/>
    <w:rsid w:val="026B6394"/>
    <w:rsid w:val="02B6720E"/>
    <w:rsid w:val="02FD459B"/>
    <w:rsid w:val="03436279"/>
    <w:rsid w:val="035B568A"/>
    <w:rsid w:val="03E52DA9"/>
    <w:rsid w:val="04226057"/>
    <w:rsid w:val="043560F1"/>
    <w:rsid w:val="04594122"/>
    <w:rsid w:val="049543D0"/>
    <w:rsid w:val="055674DB"/>
    <w:rsid w:val="05FB0BAA"/>
    <w:rsid w:val="060A3DB2"/>
    <w:rsid w:val="0623645B"/>
    <w:rsid w:val="06335056"/>
    <w:rsid w:val="06D2079B"/>
    <w:rsid w:val="073D0C00"/>
    <w:rsid w:val="073F1043"/>
    <w:rsid w:val="076A25C9"/>
    <w:rsid w:val="076E30C3"/>
    <w:rsid w:val="079B3311"/>
    <w:rsid w:val="08331DBE"/>
    <w:rsid w:val="08354E36"/>
    <w:rsid w:val="087D6CEB"/>
    <w:rsid w:val="08CF1D81"/>
    <w:rsid w:val="09CA353C"/>
    <w:rsid w:val="09FF6074"/>
    <w:rsid w:val="0BC5610E"/>
    <w:rsid w:val="0C6C3D74"/>
    <w:rsid w:val="0CD45A13"/>
    <w:rsid w:val="0CD77F76"/>
    <w:rsid w:val="0D0E722A"/>
    <w:rsid w:val="0E0E6322"/>
    <w:rsid w:val="0E397AA2"/>
    <w:rsid w:val="0FE53FB6"/>
    <w:rsid w:val="1089157A"/>
    <w:rsid w:val="117E38BF"/>
    <w:rsid w:val="11EB79DD"/>
    <w:rsid w:val="13303566"/>
    <w:rsid w:val="137449DD"/>
    <w:rsid w:val="13DB5533"/>
    <w:rsid w:val="13F9718B"/>
    <w:rsid w:val="149A763F"/>
    <w:rsid w:val="15210891"/>
    <w:rsid w:val="16403A1E"/>
    <w:rsid w:val="168603DA"/>
    <w:rsid w:val="17BE36E4"/>
    <w:rsid w:val="17BF48F1"/>
    <w:rsid w:val="182D4775"/>
    <w:rsid w:val="182E1B0F"/>
    <w:rsid w:val="1831454A"/>
    <w:rsid w:val="18974C2D"/>
    <w:rsid w:val="195A0E58"/>
    <w:rsid w:val="19653A0B"/>
    <w:rsid w:val="1A0B64CB"/>
    <w:rsid w:val="1ACA73D6"/>
    <w:rsid w:val="1B0E08C0"/>
    <w:rsid w:val="1BAE408C"/>
    <w:rsid w:val="1D8E42FF"/>
    <w:rsid w:val="1DAB5844"/>
    <w:rsid w:val="1DCF2D2F"/>
    <w:rsid w:val="1E184935"/>
    <w:rsid w:val="20362601"/>
    <w:rsid w:val="20444E49"/>
    <w:rsid w:val="206460F7"/>
    <w:rsid w:val="20FF00B4"/>
    <w:rsid w:val="21185F10"/>
    <w:rsid w:val="214D7C06"/>
    <w:rsid w:val="224B6838"/>
    <w:rsid w:val="228F6C2A"/>
    <w:rsid w:val="233C0768"/>
    <w:rsid w:val="239334FA"/>
    <w:rsid w:val="23B568CB"/>
    <w:rsid w:val="23C462D6"/>
    <w:rsid w:val="23E2540D"/>
    <w:rsid w:val="25996DE7"/>
    <w:rsid w:val="27CF7B54"/>
    <w:rsid w:val="28232B25"/>
    <w:rsid w:val="28DC2272"/>
    <w:rsid w:val="28F03D79"/>
    <w:rsid w:val="29011211"/>
    <w:rsid w:val="29266A90"/>
    <w:rsid w:val="298C12E3"/>
    <w:rsid w:val="29D02C8D"/>
    <w:rsid w:val="29D66155"/>
    <w:rsid w:val="2A365519"/>
    <w:rsid w:val="2A803971"/>
    <w:rsid w:val="2AE02561"/>
    <w:rsid w:val="2B0B1728"/>
    <w:rsid w:val="2C4758B1"/>
    <w:rsid w:val="2C500653"/>
    <w:rsid w:val="2D821EAD"/>
    <w:rsid w:val="2DFD13C5"/>
    <w:rsid w:val="2E7C4EC1"/>
    <w:rsid w:val="2F361EB6"/>
    <w:rsid w:val="302023FF"/>
    <w:rsid w:val="3124450F"/>
    <w:rsid w:val="315C439C"/>
    <w:rsid w:val="319A16C5"/>
    <w:rsid w:val="324022E0"/>
    <w:rsid w:val="32875899"/>
    <w:rsid w:val="32AC4A29"/>
    <w:rsid w:val="32FE6895"/>
    <w:rsid w:val="33014DB2"/>
    <w:rsid w:val="336A5C52"/>
    <w:rsid w:val="33D840D5"/>
    <w:rsid w:val="346B2559"/>
    <w:rsid w:val="34FF2E85"/>
    <w:rsid w:val="354B5BD3"/>
    <w:rsid w:val="3553060B"/>
    <w:rsid w:val="356E7616"/>
    <w:rsid w:val="35930652"/>
    <w:rsid w:val="35D107DA"/>
    <w:rsid w:val="35D3762F"/>
    <w:rsid w:val="364F3E59"/>
    <w:rsid w:val="36B42F20"/>
    <w:rsid w:val="36C97BD8"/>
    <w:rsid w:val="37060C98"/>
    <w:rsid w:val="377A18F5"/>
    <w:rsid w:val="37E84B45"/>
    <w:rsid w:val="38040B5A"/>
    <w:rsid w:val="384D377B"/>
    <w:rsid w:val="389C3B6A"/>
    <w:rsid w:val="39A8245A"/>
    <w:rsid w:val="39FB001F"/>
    <w:rsid w:val="3B714286"/>
    <w:rsid w:val="3B7E0281"/>
    <w:rsid w:val="3BEC3C03"/>
    <w:rsid w:val="3CE65E46"/>
    <w:rsid w:val="3D995912"/>
    <w:rsid w:val="3E3C7162"/>
    <w:rsid w:val="3E4856A7"/>
    <w:rsid w:val="3EBF7EE7"/>
    <w:rsid w:val="3EE844FA"/>
    <w:rsid w:val="408D1FAB"/>
    <w:rsid w:val="40E606D7"/>
    <w:rsid w:val="41012FAE"/>
    <w:rsid w:val="41252AFA"/>
    <w:rsid w:val="41FD4775"/>
    <w:rsid w:val="420B388D"/>
    <w:rsid w:val="421B4474"/>
    <w:rsid w:val="425C771C"/>
    <w:rsid w:val="42B3310A"/>
    <w:rsid w:val="43611621"/>
    <w:rsid w:val="43671E9B"/>
    <w:rsid w:val="43E56F04"/>
    <w:rsid w:val="43EE5534"/>
    <w:rsid w:val="43F85868"/>
    <w:rsid w:val="458C13BD"/>
    <w:rsid w:val="45BC5960"/>
    <w:rsid w:val="45F54480"/>
    <w:rsid w:val="46DC4590"/>
    <w:rsid w:val="46EA6105"/>
    <w:rsid w:val="47150609"/>
    <w:rsid w:val="476E07FB"/>
    <w:rsid w:val="47B95D17"/>
    <w:rsid w:val="481D261E"/>
    <w:rsid w:val="49340354"/>
    <w:rsid w:val="49B33668"/>
    <w:rsid w:val="4A4015AE"/>
    <w:rsid w:val="4A937117"/>
    <w:rsid w:val="4B3B6348"/>
    <w:rsid w:val="4B5156C4"/>
    <w:rsid w:val="4B5E52F6"/>
    <w:rsid w:val="4BA402A6"/>
    <w:rsid w:val="4BB17312"/>
    <w:rsid w:val="4C096DB2"/>
    <w:rsid w:val="4C0F31C2"/>
    <w:rsid w:val="4CD636AA"/>
    <w:rsid w:val="4E3C19B3"/>
    <w:rsid w:val="4E501830"/>
    <w:rsid w:val="4E511B63"/>
    <w:rsid w:val="4F51418D"/>
    <w:rsid w:val="500F7E65"/>
    <w:rsid w:val="50702992"/>
    <w:rsid w:val="50D40120"/>
    <w:rsid w:val="512F420D"/>
    <w:rsid w:val="51627793"/>
    <w:rsid w:val="51A75AF0"/>
    <w:rsid w:val="52120C32"/>
    <w:rsid w:val="525F0E2E"/>
    <w:rsid w:val="52813E34"/>
    <w:rsid w:val="52F96890"/>
    <w:rsid w:val="53173B18"/>
    <w:rsid w:val="53527BA6"/>
    <w:rsid w:val="53B51B86"/>
    <w:rsid w:val="53F55CFA"/>
    <w:rsid w:val="53FB42D5"/>
    <w:rsid w:val="5440601C"/>
    <w:rsid w:val="561255C6"/>
    <w:rsid w:val="569B0514"/>
    <w:rsid w:val="57B750AD"/>
    <w:rsid w:val="580809D9"/>
    <w:rsid w:val="58441EA8"/>
    <w:rsid w:val="58805D8F"/>
    <w:rsid w:val="5A156228"/>
    <w:rsid w:val="5AD9459C"/>
    <w:rsid w:val="5B0630ED"/>
    <w:rsid w:val="5B18541E"/>
    <w:rsid w:val="5B8B0F7E"/>
    <w:rsid w:val="5BC7363A"/>
    <w:rsid w:val="5C494805"/>
    <w:rsid w:val="5C5B6CCC"/>
    <w:rsid w:val="5D695896"/>
    <w:rsid w:val="5FE52AE9"/>
    <w:rsid w:val="60850D4B"/>
    <w:rsid w:val="60D606F3"/>
    <w:rsid w:val="61CD2E54"/>
    <w:rsid w:val="624E065B"/>
    <w:rsid w:val="62A42E65"/>
    <w:rsid w:val="637A20BF"/>
    <w:rsid w:val="64E12408"/>
    <w:rsid w:val="654E0261"/>
    <w:rsid w:val="6561157F"/>
    <w:rsid w:val="665B0D3E"/>
    <w:rsid w:val="665D42D4"/>
    <w:rsid w:val="66622101"/>
    <w:rsid w:val="66B1331C"/>
    <w:rsid w:val="66D74313"/>
    <w:rsid w:val="68086361"/>
    <w:rsid w:val="681004EF"/>
    <w:rsid w:val="687D4D05"/>
    <w:rsid w:val="68E71A1B"/>
    <w:rsid w:val="69795D59"/>
    <w:rsid w:val="69B65445"/>
    <w:rsid w:val="6A432017"/>
    <w:rsid w:val="6A7402B8"/>
    <w:rsid w:val="6B0542A1"/>
    <w:rsid w:val="6B127C8C"/>
    <w:rsid w:val="6B654EE7"/>
    <w:rsid w:val="6BA84C1E"/>
    <w:rsid w:val="6C3F3FA6"/>
    <w:rsid w:val="6C421115"/>
    <w:rsid w:val="6CAC410E"/>
    <w:rsid w:val="6CC73A6A"/>
    <w:rsid w:val="6CF67EE9"/>
    <w:rsid w:val="6D851D32"/>
    <w:rsid w:val="6D9562A6"/>
    <w:rsid w:val="6E150108"/>
    <w:rsid w:val="6E425C80"/>
    <w:rsid w:val="6EB03A50"/>
    <w:rsid w:val="6EBD4503"/>
    <w:rsid w:val="6F1C4EA6"/>
    <w:rsid w:val="6F2E46F1"/>
    <w:rsid w:val="70103FD1"/>
    <w:rsid w:val="70B53B11"/>
    <w:rsid w:val="70FB1BCC"/>
    <w:rsid w:val="71381809"/>
    <w:rsid w:val="73A251CA"/>
    <w:rsid w:val="73AD7C79"/>
    <w:rsid w:val="74155560"/>
    <w:rsid w:val="7461484E"/>
    <w:rsid w:val="749403A7"/>
    <w:rsid w:val="74B642A2"/>
    <w:rsid w:val="74BB274C"/>
    <w:rsid w:val="75D72BDF"/>
    <w:rsid w:val="769B3BF6"/>
    <w:rsid w:val="77246015"/>
    <w:rsid w:val="77521F0E"/>
    <w:rsid w:val="7770749E"/>
    <w:rsid w:val="777738A0"/>
    <w:rsid w:val="78B670C4"/>
    <w:rsid w:val="795B5DCC"/>
    <w:rsid w:val="79A43105"/>
    <w:rsid w:val="7A31375C"/>
    <w:rsid w:val="7A4866E7"/>
    <w:rsid w:val="7B00425B"/>
    <w:rsid w:val="7B037185"/>
    <w:rsid w:val="7C500C04"/>
    <w:rsid w:val="7CCE1488"/>
    <w:rsid w:val="7CF82B32"/>
    <w:rsid w:val="7D84448B"/>
    <w:rsid w:val="7D9F5D4F"/>
    <w:rsid w:val="7E014663"/>
    <w:rsid w:val="7E5A144E"/>
    <w:rsid w:val="7F141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迪庆州香格里拉市党政机关单位</Company>
  <Pages>4</Pages>
  <Words>1584</Words>
  <Characters>1658</Characters>
  <Lines>0</Lines>
  <Paragraphs>48</Paragraphs>
  <TotalTime>52</TotalTime>
  <ScaleCrop>false</ScaleCrop>
  <LinksUpToDate>false</LinksUpToDate>
  <CharactersWithSpaces>1747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2018-05-22T02:12:00Z</dcterms:created>
  <dc:creator>??(????</dc:creator>
  <cp:lastModifiedBy>卓玛央宗</cp:lastModifiedBy>
  <cp:lastPrinted>2023-02-27T03:31:00Z</cp:lastPrinted>
  <dcterms:modified xsi:type="dcterms:W3CDTF">2024-07-03T07:49:12Z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55E4C26A81D64B69AE41FA6C818E29A6_12</vt:lpwstr>
  </property>
</Properties>
</file>