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2024年度重大行政决策事项目录清单</w:t>
      </w:r>
    </w:p>
    <w:p>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单位：香格里拉市人民政府办公室                                  时间：2024年4月23日</w:t>
      </w:r>
    </w:p>
    <w:tbl>
      <w:tblPr>
        <w:tblStyle w:val="4"/>
        <w:tblW w:w="14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284"/>
        <w:gridCol w:w="3250"/>
        <w:gridCol w:w="1517"/>
        <w:gridCol w:w="1041"/>
        <w:gridCol w:w="1759"/>
        <w:gridCol w:w="2224"/>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6"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284"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名称</w:t>
            </w:r>
          </w:p>
        </w:tc>
        <w:tc>
          <w:tcPr>
            <w:tcW w:w="3250"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w:t>
            </w:r>
          </w:p>
        </w:tc>
        <w:tc>
          <w:tcPr>
            <w:tcW w:w="1517"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承办部门</w:t>
            </w:r>
          </w:p>
        </w:tc>
        <w:tc>
          <w:tcPr>
            <w:tcW w:w="1041"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p>
        </w:tc>
        <w:tc>
          <w:tcPr>
            <w:tcW w:w="1759"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拟发布形式</w:t>
            </w:r>
          </w:p>
        </w:tc>
        <w:tc>
          <w:tcPr>
            <w:tcW w:w="2224"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初步论证说明</w:t>
            </w:r>
          </w:p>
        </w:tc>
        <w:tc>
          <w:tcPr>
            <w:tcW w:w="163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576"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228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香格里拉市康思水库饮用水水源地保护区划定</w:t>
            </w:r>
          </w:p>
        </w:tc>
        <w:tc>
          <w:tcPr>
            <w:tcW w:w="3250"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水污染防治法</w:t>
            </w:r>
          </w:p>
        </w:tc>
        <w:tc>
          <w:tcPr>
            <w:tcW w:w="1517"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香格里拉市人民政府</w:t>
            </w:r>
          </w:p>
        </w:tc>
        <w:tc>
          <w:tcPr>
            <w:tcW w:w="1041" w:type="dxa"/>
            <w:vAlign w:val="center"/>
          </w:tcPr>
          <w:p>
            <w:pPr>
              <w:jc w:val="center"/>
              <w:rPr>
                <w:rFonts w:ascii="方正仿宋_GBK" w:hAnsi="方正仿宋_GBK" w:eastAsia="方正仿宋_GBK" w:cs="方正仿宋_GBK"/>
                <w:szCs w:val="21"/>
              </w:rPr>
            </w:pPr>
            <w:r>
              <w:rPr>
                <w:rFonts w:ascii="方正仿宋_GBK" w:hAnsi="方正仿宋_GBK" w:eastAsia="方正仿宋_GBK" w:cs="方正仿宋_GBK"/>
                <w:szCs w:val="21"/>
              </w:rPr>
              <w:t>202</w:t>
            </w:r>
            <w:r>
              <w:rPr>
                <w:rFonts w:hint="eastAsia" w:ascii="方正仿宋_GBK" w:hAnsi="方正仿宋_GBK" w:eastAsia="方正仿宋_GBK" w:cs="方正仿宋_GBK"/>
                <w:szCs w:val="21"/>
              </w:rPr>
              <w:t>4年1</w:t>
            </w:r>
            <w:r>
              <w:rPr>
                <w:rFonts w:ascii="方正仿宋_GBK" w:hAnsi="方正仿宋_GBK" w:eastAsia="方正仿宋_GBK" w:cs="方正仿宋_GBK"/>
                <w:szCs w:val="21"/>
              </w:rPr>
              <w:t>2</w:t>
            </w:r>
            <w:r>
              <w:rPr>
                <w:rFonts w:hint="eastAsia" w:ascii="方正仿宋_GBK" w:hAnsi="方正仿宋_GBK" w:eastAsia="方正仿宋_GBK" w:cs="方正仿宋_GBK"/>
                <w:szCs w:val="21"/>
              </w:rPr>
              <w:t>月</w:t>
            </w:r>
            <w:r>
              <w:rPr>
                <w:rFonts w:ascii="方正仿宋_GBK" w:hAnsi="方正仿宋_GBK" w:eastAsia="方正仿宋_GBK" w:cs="方正仿宋_GBK"/>
                <w:szCs w:val="21"/>
              </w:rPr>
              <w:t>31</w:t>
            </w:r>
            <w:r>
              <w:rPr>
                <w:rFonts w:hint="eastAsia" w:ascii="方正仿宋_GBK" w:hAnsi="方正仿宋_GBK" w:eastAsia="方正仿宋_GBK" w:cs="方正仿宋_GBK"/>
                <w:szCs w:val="21"/>
              </w:rPr>
              <w:t>日</w:t>
            </w:r>
          </w:p>
        </w:tc>
        <w:tc>
          <w:tcPr>
            <w:tcW w:w="17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由省人民政府或委托省级相关部门批复后公开发布文本内容</w:t>
            </w:r>
          </w:p>
        </w:tc>
        <w:tc>
          <w:tcPr>
            <w:tcW w:w="222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已通过专家审查</w:t>
            </w:r>
          </w:p>
        </w:tc>
        <w:tc>
          <w:tcPr>
            <w:tcW w:w="163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具体承办部门：州生态环境局香格里拉分局</w:t>
            </w:r>
          </w:p>
          <w:p>
            <w:pPr>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576"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228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香格里拉市建塘镇撤镇设街道</w:t>
            </w:r>
          </w:p>
        </w:tc>
        <w:tc>
          <w:tcPr>
            <w:tcW w:w="3250"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1、省政府迪庆现场办公会“</w:t>
            </w:r>
            <w:bookmarkStart w:id="0" w:name="_GoBack"/>
            <w:bookmarkEnd w:id="0"/>
            <w:r>
              <w:rPr>
                <w:rFonts w:hint="eastAsia" w:ascii="方正仿宋_GBK" w:hAnsi="方正仿宋_GBK" w:eastAsia="方正仿宋_GBK" w:cs="方正仿宋_GBK"/>
                <w:szCs w:val="21"/>
              </w:rPr>
              <w:t>优化行政区划，支撑新型城镇化发展”的要求；2、《行政区划管理条例》；3、《行政区划管理条例实施办法》4、《重大行政决策程序暂行条例》</w:t>
            </w:r>
          </w:p>
        </w:tc>
        <w:tc>
          <w:tcPr>
            <w:tcW w:w="1517"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香格里拉市人民政府</w:t>
            </w:r>
          </w:p>
        </w:tc>
        <w:tc>
          <w:tcPr>
            <w:tcW w:w="104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2026年12月31日</w:t>
            </w:r>
          </w:p>
        </w:tc>
        <w:tc>
          <w:tcPr>
            <w:tcW w:w="17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由省人民政府或委托省级相关部门批复后公开发布文本内容</w:t>
            </w:r>
          </w:p>
        </w:tc>
        <w:tc>
          <w:tcPr>
            <w:tcW w:w="222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已聘请第三方编制建塘镇行政区划调整可行性研究报告，拟于2024年5月形成可行性研究报告报市委、市政府确定撤镇设街道方案后推进工作。</w:t>
            </w:r>
          </w:p>
        </w:tc>
        <w:tc>
          <w:tcPr>
            <w:tcW w:w="163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具体承办部门：香格里拉市民政局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76"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序号</w:t>
            </w:r>
          </w:p>
        </w:tc>
        <w:tc>
          <w:tcPr>
            <w:tcW w:w="228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名称</w:t>
            </w:r>
          </w:p>
        </w:tc>
        <w:tc>
          <w:tcPr>
            <w:tcW w:w="3250"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依据</w:t>
            </w:r>
          </w:p>
        </w:tc>
        <w:tc>
          <w:tcPr>
            <w:tcW w:w="1517"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承办部门</w:t>
            </w:r>
          </w:p>
        </w:tc>
        <w:tc>
          <w:tcPr>
            <w:tcW w:w="104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完成时限</w:t>
            </w:r>
          </w:p>
        </w:tc>
        <w:tc>
          <w:tcPr>
            <w:tcW w:w="17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拟发布形式</w:t>
            </w:r>
          </w:p>
        </w:tc>
        <w:tc>
          <w:tcPr>
            <w:tcW w:w="222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初步论证</w:t>
            </w:r>
          </w:p>
        </w:tc>
        <w:tc>
          <w:tcPr>
            <w:tcW w:w="163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576"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2284"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金龙、仓房历史文化街区保护规划申报</w:t>
            </w:r>
          </w:p>
        </w:tc>
        <w:tc>
          <w:tcPr>
            <w:tcW w:w="3250"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制本规划，作为云南省迪庆州香格里拉历史文化名城仓房历史文化街区保护与管理的依据</w:t>
            </w:r>
          </w:p>
          <w:p>
            <w:pPr>
              <w:rPr>
                <w:rFonts w:ascii="方正仿宋_GBK" w:hAnsi="方正仿宋_GBK" w:eastAsia="方正仿宋_GBK" w:cs="方正仿宋_GBK"/>
                <w:szCs w:val="21"/>
              </w:rPr>
            </w:pPr>
          </w:p>
        </w:tc>
        <w:tc>
          <w:tcPr>
            <w:tcW w:w="1517"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香格里拉市人民政府</w:t>
            </w:r>
          </w:p>
        </w:tc>
        <w:tc>
          <w:tcPr>
            <w:tcW w:w="1041"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2024年12月31日</w:t>
            </w:r>
          </w:p>
        </w:tc>
        <w:tc>
          <w:tcPr>
            <w:tcW w:w="1759"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由省人民政府或委托省级相关部门批复后公开发布文本内容</w:t>
            </w:r>
          </w:p>
        </w:tc>
        <w:tc>
          <w:tcPr>
            <w:tcW w:w="2224"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截至</w:t>
            </w:r>
            <w:r>
              <w:rPr>
                <w:rFonts w:hint="eastAsia" w:ascii="方正仿宋_GBK" w:hAnsi="方正仿宋_GBK" w:eastAsia="方正仿宋_GBK" w:cs="方正仿宋_GBK"/>
                <w:szCs w:val="21"/>
              </w:rPr>
              <w:t>目前已完成专家论证、风险评估、公众参与内容，根据市政府要求现准备召开听证会</w:t>
            </w:r>
          </w:p>
        </w:tc>
        <w:tc>
          <w:tcPr>
            <w:tcW w:w="1635"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具体承办部门：香格里拉历史文化名城指挥部（市住建局）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576"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2284"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香格里拉市园、林、草地分等定级及基准地价制定工作</w:t>
            </w:r>
          </w:p>
        </w:tc>
        <w:tc>
          <w:tcPr>
            <w:tcW w:w="3250"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云南省自然资源厅关于印发&lt;云南省园、林、草地分等定级工作实施方案&gt;的通知》(云自然资利用[2022]368号)、《云南省自然资源厅关于印发&lt;云南省自然资源厅关于做好2022年度自然资源评价评估工作的通知》(云自然资利用[2022]523号)</w:t>
            </w:r>
          </w:p>
        </w:tc>
        <w:tc>
          <w:tcPr>
            <w:tcW w:w="1517"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香格里拉市人民政府</w:t>
            </w:r>
          </w:p>
        </w:tc>
        <w:tc>
          <w:tcPr>
            <w:tcW w:w="1041"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2024年11月30日</w:t>
            </w:r>
          </w:p>
        </w:tc>
        <w:tc>
          <w:tcPr>
            <w:tcW w:w="1759"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逐级上报省厅验收后，待香格里拉市人民政府批准后在香格里拉市政府网站公开发布。</w:t>
            </w:r>
          </w:p>
        </w:tc>
        <w:tc>
          <w:tcPr>
            <w:tcW w:w="2224"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已编制《香格里拉市园地林地草地定级和基准地价成果（草案）》，并完成市级听证会，待修改完善后逐级上报省自然资源厅。</w:t>
            </w:r>
          </w:p>
        </w:tc>
        <w:tc>
          <w:tcPr>
            <w:tcW w:w="1635" w:type="dxa"/>
            <w:vAlign w:val="center"/>
          </w:tcPr>
          <w:p>
            <w:pPr>
              <w:rPr>
                <w:rFonts w:ascii="方正仿宋_GBK" w:hAnsi="方正仿宋_GBK" w:eastAsia="方正仿宋_GBK" w:cs="方正仿宋_GBK"/>
                <w:szCs w:val="21"/>
              </w:rPr>
            </w:pPr>
            <w:r>
              <w:rPr>
                <w:rFonts w:hint="eastAsia" w:ascii="方正仿宋_GBK" w:hAnsi="方正仿宋_GBK" w:eastAsia="方正仿宋_GBK" w:cs="方正仿宋_GBK"/>
                <w:szCs w:val="21"/>
              </w:rPr>
              <w:t>具体承办部门：香格里拉市自然资源局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576"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228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小中甸镇等10个乡镇国土空间总体规划（2021-2035年）</w:t>
            </w:r>
          </w:p>
        </w:tc>
        <w:tc>
          <w:tcPr>
            <w:tcW w:w="3250"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自然资源部关于全面开展国土空间规划工作的通知（自然资发〔2019〕87号）</w:t>
            </w:r>
          </w:p>
        </w:tc>
        <w:tc>
          <w:tcPr>
            <w:tcW w:w="1517"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香格里拉市人民政府</w:t>
            </w:r>
          </w:p>
        </w:tc>
        <w:tc>
          <w:tcPr>
            <w:tcW w:w="1041"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2024年12月31日</w:t>
            </w:r>
          </w:p>
        </w:tc>
        <w:tc>
          <w:tcPr>
            <w:tcW w:w="17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上报市政府批复后，在香格里拉市政府网站公开发布。</w:t>
            </w:r>
          </w:p>
        </w:tc>
        <w:tc>
          <w:tcPr>
            <w:tcW w:w="2224"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正在有序推进</w:t>
            </w:r>
          </w:p>
        </w:tc>
        <w:tc>
          <w:tcPr>
            <w:tcW w:w="163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具体承办部门：各乡镇人民政府香格里拉市自然资源局</w:t>
            </w:r>
          </w:p>
        </w:tc>
      </w:tr>
    </w:tbl>
    <w:p>
      <w:pPr>
        <w:jc w:val="center"/>
        <w:rPr>
          <w:rFonts w:ascii="方正仿宋_GBK" w:hAnsi="方正仿宋_GBK" w:eastAsia="方正仿宋_GBK" w:cs="方正仿宋_GBK"/>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36487D35-4098-4148-BA52-7ADF5EA03DD2}"/>
  </w:font>
  <w:font w:name="方正小标宋_GBK">
    <w:panose1 w:val="02000000000000000000"/>
    <w:charset w:val="86"/>
    <w:family w:val="auto"/>
    <w:pitch w:val="default"/>
    <w:sig w:usb0="A00002BF" w:usb1="38CF7CFA" w:usb2="00082016" w:usb3="00000000" w:csb0="00040001" w:csb1="00000000"/>
    <w:embedRegular r:id="rId2" w:fontKey="{28D2A135-A872-4EFB-A022-4E4A9554EA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hMWExOWFmOGMwM2VkY2RiNWJlNWJlYTBmMWUyYjgifQ=="/>
  </w:docVars>
  <w:rsids>
    <w:rsidRoot w:val="4AFE4D16"/>
    <w:rsid w:val="000E17BA"/>
    <w:rsid w:val="002F2481"/>
    <w:rsid w:val="003F29BB"/>
    <w:rsid w:val="00FE4CC6"/>
    <w:rsid w:val="01B312A0"/>
    <w:rsid w:val="05FE7515"/>
    <w:rsid w:val="0D394DFA"/>
    <w:rsid w:val="0FFF3568"/>
    <w:rsid w:val="15ED565B"/>
    <w:rsid w:val="16EFFDAA"/>
    <w:rsid w:val="17F938D3"/>
    <w:rsid w:val="1A0545C7"/>
    <w:rsid w:val="21151F15"/>
    <w:rsid w:val="23AEF1B3"/>
    <w:rsid w:val="27BF404C"/>
    <w:rsid w:val="2EFEFC9F"/>
    <w:rsid w:val="2FA7F380"/>
    <w:rsid w:val="2FB5AB34"/>
    <w:rsid w:val="2FB952E0"/>
    <w:rsid w:val="33FD5C64"/>
    <w:rsid w:val="34341F10"/>
    <w:rsid w:val="34F77001"/>
    <w:rsid w:val="36FFDFD3"/>
    <w:rsid w:val="379F2CAF"/>
    <w:rsid w:val="37DEE84D"/>
    <w:rsid w:val="37EBBA4B"/>
    <w:rsid w:val="3AEF9FFB"/>
    <w:rsid w:val="3BDBA153"/>
    <w:rsid w:val="3CF79E3A"/>
    <w:rsid w:val="3D2F4C38"/>
    <w:rsid w:val="3DFB6E38"/>
    <w:rsid w:val="3E9FF552"/>
    <w:rsid w:val="3F9B9486"/>
    <w:rsid w:val="3FCDD80A"/>
    <w:rsid w:val="3FF7038C"/>
    <w:rsid w:val="3FFC78EC"/>
    <w:rsid w:val="3FFD4022"/>
    <w:rsid w:val="3FFF1471"/>
    <w:rsid w:val="3FFF58C2"/>
    <w:rsid w:val="42B76FCA"/>
    <w:rsid w:val="4AFAAA06"/>
    <w:rsid w:val="4AFE4D16"/>
    <w:rsid w:val="4B32CC45"/>
    <w:rsid w:val="4DDF2408"/>
    <w:rsid w:val="4DFF1EC6"/>
    <w:rsid w:val="53E24323"/>
    <w:rsid w:val="5675F67B"/>
    <w:rsid w:val="56FF9B0B"/>
    <w:rsid w:val="57BD325B"/>
    <w:rsid w:val="57EE00BD"/>
    <w:rsid w:val="57FF290C"/>
    <w:rsid w:val="59DBBF04"/>
    <w:rsid w:val="5BEF8B82"/>
    <w:rsid w:val="5D8F1494"/>
    <w:rsid w:val="5F7F2958"/>
    <w:rsid w:val="5FEBD0F1"/>
    <w:rsid w:val="5FFF4A6F"/>
    <w:rsid w:val="66AB5826"/>
    <w:rsid w:val="66EF7624"/>
    <w:rsid w:val="67FB629E"/>
    <w:rsid w:val="67FBA959"/>
    <w:rsid w:val="6B1F6222"/>
    <w:rsid w:val="6B37B2FE"/>
    <w:rsid w:val="6D3C2CF5"/>
    <w:rsid w:val="6DBE6FEB"/>
    <w:rsid w:val="6F5771BF"/>
    <w:rsid w:val="6F97940E"/>
    <w:rsid w:val="6F9DC084"/>
    <w:rsid w:val="6FF20A10"/>
    <w:rsid w:val="6FFB33AD"/>
    <w:rsid w:val="6FFD96DD"/>
    <w:rsid w:val="71DEEA38"/>
    <w:rsid w:val="73FD2BF6"/>
    <w:rsid w:val="74F624BC"/>
    <w:rsid w:val="758E3053"/>
    <w:rsid w:val="75F7BB3D"/>
    <w:rsid w:val="76DFA3E5"/>
    <w:rsid w:val="77BEFFDD"/>
    <w:rsid w:val="78C3E5A7"/>
    <w:rsid w:val="79EFEA89"/>
    <w:rsid w:val="7A3F01CD"/>
    <w:rsid w:val="7B1C7D91"/>
    <w:rsid w:val="7B3F582C"/>
    <w:rsid w:val="7B6FCB62"/>
    <w:rsid w:val="7BBF6703"/>
    <w:rsid w:val="7BEF7B3B"/>
    <w:rsid w:val="7C5B1DD4"/>
    <w:rsid w:val="7CA5B691"/>
    <w:rsid w:val="7D9B205C"/>
    <w:rsid w:val="7E3789A9"/>
    <w:rsid w:val="7EBE504E"/>
    <w:rsid w:val="7EF8607D"/>
    <w:rsid w:val="7EFF514C"/>
    <w:rsid w:val="7F1D0865"/>
    <w:rsid w:val="7F3AE01F"/>
    <w:rsid w:val="7F771E98"/>
    <w:rsid w:val="7F7ADDDD"/>
    <w:rsid w:val="7FAF61D1"/>
    <w:rsid w:val="7FB5423D"/>
    <w:rsid w:val="7FBE131F"/>
    <w:rsid w:val="7FBF384B"/>
    <w:rsid w:val="7FCFA827"/>
    <w:rsid w:val="7FD7D6CC"/>
    <w:rsid w:val="7FE32054"/>
    <w:rsid w:val="7FFC3CBF"/>
    <w:rsid w:val="7FFC6348"/>
    <w:rsid w:val="7FFF53BE"/>
    <w:rsid w:val="8F5A90CC"/>
    <w:rsid w:val="97AF873D"/>
    <w:rsid w:val="9F7EB43B"/>
    <w:rsid w:val="AB57540B"/>
    <w:rsid w:val="ADFDC77B"/>
    <w:rsid w:val="AFECDC6A"/>
    <w:rsid w:val="B3FEA58D"/>
    <w:rsid w:val="B6F90946"/>
    <w:rsid w:val="B7F7FBD2"/>
    <w:rsid w:val="B93E7ED7"/>
    <w:rsid w:val="B96E0733"/>
    <w:rsid w:val="B9EDE885"/>
    <w:rsid w:val="BBCFD576"/>
    <w:rsid w:val="BBFD1E6D"/>
    <w:rsid w:val="BE6ECA63"/>
    <w:rsid w:val="BEBBB52E"/>
    <w:rsid w:val="BF5FFB36"/>
    <w:rsid w:val="BF6FEA41"/>
    <w:rsid w:val="BFCBCD60"/>
    <w:rsid w:val="BFCF933F"/>
    <w:rsid w:val="BFF37DFF"/>
    <w:rsid w:val="BFFD3B5E"/>
    <w:rsid w:val="BFFF4B98"/>
    <w:rsid w:val="BFFFFC77"/>
    <w:rsid w:val="CA9525D7"/>
    <w:rsid w:val="CFFF0872"/>
    <w:rsid w:val="CFFFAA00"/>
    <w:rsid w:val="D5366409"/>
    <w:rsid w:val="D6CD70DE"/>
    <w:rsid w:val="D7F551D9"/>
    <w:rsid w:val="D7FEF322"/>
    <w:rsid w:val="DABFC0F8"/>
    <w:rsid w:val="DBFF32A2"/>
    <w:rsid w:val="DDDB9392"/>
    <w:rsid w:val="DED73208"/>
    <w:rsid w:val="DEEFE780"/>
    <w:rsid w:val="DF6EAC7F"/>
    <w:rsid w:val="DFE9620A"/>
    <w:rsid w:val="DFF383D1"/>
    <w:rsid w:val="DFFD2901"/>
    <w:rsid w:val="E46E3C4A"/>
    <w:rsid w:val="E6FFC12F"/>
    <w:rsid w:val="E759220A"/>
    <w:rsid w:val="E9FFDD20"/>
    <w:rsid w:val="EA3758CE"/>
    <w:rsid w:val="EAEF44C5"/>
    <w:rsid w:val="EBB93096"/>
    <w:rsid w:val="EBBBF4BA"/>
    <w:rsid w:val="ECF701D5"/>
    <w:rsid w:val="EDF75256"/>
    <w:rsid w:val="EDFF3A14"/>
    <w:rsid w:val="EE7F3411"/>
    <w:rsid w:val="EF7B657B"/>
    <w:rsid w:val="EF7C19B4"/>
    <w:rsid w:val="EF7F942B"/>
    <w:rsid w:val="EFBB8B61"/>
    <w:rsid w:val="EFE738A8"/>
    <w:rsid w:val="EFEF351D"/>
    <w:rsid w:val="EFF3CA94"/>
    <w:rsid w:val="EFF4A7E7"/>
    <w:rsid w:val="EFF7B11A"/>
    <w:rsid w:val="EFF984DC"/>
    <w:rsid w:val="EFFBD664"/>
    <w:rsid w:val="EFFC8430"/>
    <w:rsid w:val="EFFED92B"/>
    <w:rsid w:val="F1FF466F"/>
    <w:rsid w:val="F1FFC81F"/>
    <w:rsid w:val="F31596AE"/>
    <w:rsid w:val="F3BF408A"/>
    <w:rsid w:val="F57EAB8D"/>
    <w:rsid w:val="F57F3AB4"/>
    <w:rsid w:val="F57FBF0D"/>
    <w:rsid w:val="F5FFA946"/>
    <w:rsid w:val="F66E21FA"/>
    <w:rsid w:val="F675FD2D"/>
    <w:rsid w:val="F6DFDA7F"/>
    <w:rsid w:val="F7FEB609"/>
    <w:rsid w:val="F96EE152"/>
    <w:rsid w:val="F9E719EE"/>
    <w:rsid w:val="FA77558B"/>
    <w:rsid w:val="FAEF395C"/>
    <w:rsid w:val="FAF748F6"/>
    <w:rsid w:val="FBFFD769"/>
    <w:rsid w:val="FDFA43E7"/>
    <w:rsid w:val="FE9FBD29"/>
    <w:rsid w:val="FEFCE4E9"/>
    <w:rsid w:val="FF370FAC"/>
    <w:rsid w:val="FF4F10E1"/>
    <w:rsid w:val="FFA6FBF0"/>
    <w:rsid w:val="FFB5E61C"/>
    <w:rsid w:val="FFCDB6B4"/>
    <w:rsid w:val="FFD74E1B"/>
    <w:rsid w:val="FFDDBD37"/>
    <w:rsid w:val="FFDDCC40"/>
    <w:rsid w:val="FFDF92E6"/>
    <w:rsid w:val="FFDF99E6"/>
    <w:rsid w:val="FFDFC228"/>
    <w:rsid w:val="FFEF824D"/>
    <w:rsid w:val="FFF1F45F"/>
    <w:rsid w:val="FFF8D5CF"/>
    <w:rsid w:val="FFF9E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c"/>
    <w:basedOn w:val="1"/>
    <w:qFormat/>
    <w:uiPriority w:val="0"/>
    <w:pPr>
      <w:widowControl/>
      <w:spacing w:before="30"/>
      <w:jc w:val="center"/>
    </w:pPr>
    <w:rPr>
      <w:rFonts w:ascii="黑体" w:hAnsi="宋体" w:eastAsia="黑体" w:cs="Times New Roman"/>
      <w:color w:val="000000"/>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939</Words>
  <Characters>1006</Characters>
  <Lines>95</Lines>
  <Paragraphs>61</Paragraphs>
  <TotalTime>3</TotalTime>
  <ScaleCrop>false</ScaleCrop>
  <LinksUpToDate>false</LinksUpToDate>
  <CharactersWithSpaces>1040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2024-06-07T01:02:00Z</dcterms:created>
  <dc:creator>黄照森</dc:creator>
  <cp:lastModifiedBy>格茸央宗</cp:lastModifiedBy>
  <cp:lastPrinted>2024-06-07T01:02:00Z</cp:lastPrinted>
  <dcterms:modified xsi:type="dcterms:W3CDTF">2024-08-05T02:34:08Z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3BA16120CC2C496186464C6E188A8A7A_13</vt:lpwstr>
  </property>
</Properties>
</file>